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МЕТОДИКА РАБОТЫ С ТВОРЧЕСКИМ КОЛЛЕКТИВОМ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Вариант 9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Тема: Организация и планирование учебно-образовательного процесса в детском театральном объединении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Роль театрального коллектива в развитии младших школьников.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Технология организации и планирования учебно-воспитательного процесса в детском театральном коллективе.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Содержание занятий в учебно-образовательном процессе в детском театральном коллективе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1. Антонова О.А. Школьный театр в истории образования России (XVII-XXI вв.) Монография. Санкт-Петербург, 2006 – 287 стр.Белинский В.Г. О театре. Детская литература, серия «В мире прекрасного», переизданное.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2. Андреев А.Н., Быков М.Ю., Климова Т.А., Косинец Е.И., Кочерова Е.А., Никитина А.Б., Рыбакова Ю.Н. «Театральная педагогика и уроки театра» в Сб. «Современное учебное занятие по искусству». Учебно-методическое пособие для учителей. Библиотека ГАОУ ВО МИОО 2016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3. Басина Н.Э. Театральная педагогика как средство создания развивающей образовательной среды. Издательство АМБ. Екатеринбург, 2005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4. Букатов В.М. Педагогические таинства дидактических игр. Учебно-методическое пособие. Московский психолого-социальный институт Издательство «Флинта», М.: 2003.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5. Букатов В.М., Ганькина М.В., Ярыгина Т.Б. Домашняя азбука: Практическое руководство для занятий с детьми от 4 до 7 лет.- М.:"Аванта+"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6. Букатов В.М., Ершова А.П. Я иду на урок: Хрестоматия игровых приемов обучения.– М., 2000.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7. Букатов В.М.: Драмогерменевтика в основных ориентирах и положениях. Сайт - Открытый авторский институт альтернативного образования им. Я. Корчака. http://alteredu.ru/new/blog/archives/20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8. Букатов В.М.: О ТАБЛИЦЕ-БАБОЧКЕ СОЦИО-ИГРОВОГО СТИЛЯ ОБУЧЕНИЯ И ДРАМОГЕРМЕНЕВТИЧЕСКОЙ ПОВСЕДНЕВНОСТИ НА ШКОЛЬНЫХ УРОКАХ. Сайт - ОТКРЫТЫЙ УРОК: www.openlesson.ru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9. Викторова О. В. Техника и выразительность речи в работе учителя образовательной области «Искусство». Учебно-методическое пособие. Ч.1. М. МИОО, 2007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10. Викторова О. В. Речевое мастерство учителя и работа со словом. Учебно-методическое пособие. Ч. 2. М., МИОО – ОАО «Московские учебники», 2009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11. В кругу Матвея Дубровина. Балтийские сезоны. ТЮТ. Санкт-Петербург: 2006,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12. Генералова И. А. Театр. Авангард, М., 1997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13. Горчаков Н. Режиссёрские уроки К.С. Станиславского. – М., Искусство, Переизданное издание.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14. Гребенкин А. В. Театральная педагогика вчера и сегодня. Научные труды. Сайт - Театр 111. http://theater111.ru/science07.php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15. Григорьева О.А. Школьная театральная педагогика. Издательство «Лань», 2015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16. Дети. Театр. Образование. Тезисы докладов. Екатеринбург. 1996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17. Деятельность театров: театр и дети. Аналитический обзор. Министерство культуры Российской Федерации, Российский институт культурологии, Главный информационно-вычислительный центр. М. 2001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18. Ершова А. П., Букатов В. М. Актерская грамота – подросткам. МОЦМЭВ "Глаголь", Ивантеевка, 1994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19. Ильев В.А. Когда урок волнует (Театральная технология в педагогическом творчестве). Пермь, 2008.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20. Инновационные методики в системе инновационной практики. «Режиссура и педагогика корня». Под ред. Никитиной А.Б. В сб. Преподавание образовательной области «ИСКУССТВО» в 2009/2010 учебном году. Серия – Августовский педсовет. МИОО – ОАО «Московские учебники», 2009.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21. Игра как основа взаимодействия и коммуникации в инклюзивном образовании. Составители - Агафонова Е.Л. и Тян Е. Н. Редактор – Никитина А.Б. Издание Департамента образовании города Москвы, ГБОУ Центр психолого-медико-социального сопровождения «Зелёная ветка». Москва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22. Завадский Ю. Об искусстве театра. – М., Изд-во ВТО, переизданное 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23. Кожара Е. Система педагогической режиссуры. Изд. СПб ГПУ, С.-П. – 2003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24. Колчеев Ю, Колчеева Н., Игровая театральная педагогика. Информационно-просветительский портал Ханты-мансийского автономного округа – ЮГРЫ http://www.eduhmao.ru/ (http://www.eduhmao.ru/info/1/3824/24531/ 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25. Косинец Е. И. Образовательная программа «Театр» (вариант наполнения художественно-эстетического профиля). М. МИОО – ОАО «Московские учебники», 2009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26. Косинец Е.И., Климова Т.А., Никитина А.Б. и группа специалистов Московского общественного центра Школьной театральной педагогики «Возможности театральной педагогики в контексте образовательных стандартов» и «Театр как урок». Вестник московского образования №11, 2013 год. Официальное издание Московского Департамента Образования.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27. Косинец Е.И., Никитина А.Б., Быков М.Ю., учителя московских школ и группа специалистов Московского общественного центра Школьной театральной педагогики «Урок как театр или как учиться с удовольствием». Вестник московского образования №12, 2013 год. Официальное издание Московского Департамента Образования.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28. Кнебель М. Слово в творчестве актёра. – М., Изд-во, переизданное.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29. Кристи Г.В. Воспитание актёра школы Станиславского. – М., искусство, переизданное.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30. Лапина О.А. Школьная театральная педагогика — опыт междисциплинарного синтеза. Диалог в образовании. Сборник материалов конференции. Серия "Symposium", выпуск 22. СПб.: Санкт-Петербургское философское общество, 2002. Сайт Антропология http://www.anthropology.ru/ru/partners/psociety/index.html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31. Литовченко Л. В. Интегрированные уроки по технологии театральной педагогики - форма повышения литературного образования старшеклассников. МОУ средняя общеобразовательная школа № 2. г. Тамбов. Сайт - Педсовет.org. Живое пространство образования. http://pedsovet.org/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32. Любительское художественное творчество в России XX века. Словарь. Государственный институт искусствознания. Издательство «Прогресс-Традиция», Москва – 2010 год. Статьи «Казарновский С.З.» и «Пролог» (стр. 273). Автор – Никитина А.Б. http://interpretive.ru/dictionary/1313/word/kazarnovskii-sergei-zinovevich и http://interpretive.ru/dictionary/1313/word/-prolog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33. Медведева И. И Шишова Т. Хозяин и собака. Лечебный театр. Репертуарно-методическая библиотечка "Я вхожу в мир искусства". ВЦХТ, М. № 11 – 2000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34. Малюков А. Н. Психология переживания и художественное развитие личности. г. Дубна, Феникс, 1999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35. «Между Ясной поляной Л. Н. Толстого и ялтинской дачей А. П. Чехова» - Мир духовных и художественных поисков русской интеллигенции второй половины XIX века. Разработка и реализация интегративного проекта в зоне профильного образования. Учебно-методическое пособие под ред. А. Б. Никитиной. М. МИОО – ОАО «Московские учебники», 2009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36. Никитина А. Б., Тюханова Е. А. Интегративный курс «Театр»: История про театр. Учебно-методическое пособие для учителей. Издательство «Авангард», М. – 1995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37. 37. Никитина А. Б., Тюханова Е. А. Любите ли Вы театр? Учебное пособие для учеников средней школы по интегративному предмету «Театр». Издательство «Авангард», М. – 1995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38. Никитина А. Б. Ребенок на сцене. Всероссийский центр художественного творчества. М., – 2004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39. Никитина А. Б. Культура древних цивилизаций. Игры. Упражнения. Открытые уроки. (Мировая художественная культура) Учебно-методическое пособие. Международный союз книголюбов. Москва 2000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40. Никитина А. Б. Культура древних цивилизаций. Театральное путешествие в древний Египет. (Мировая художественная культура). Учебно-методическое пособие. Международный союз книголюбов. Москва 2001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41. Никитина А. Б. Уроки театра древней Греции Учебно-методическое пособие. Московские учебники. 2007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42. Никитина А. Б., Быков М. Ю. Уроки средневекового театра. Учебно-методическое пособие. М. МИОО – ОАО «Московские учебники», 2009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43. Никитина А. Б., Быков М. Ю. Уроки театра Возрождения. Учебно-методическое пособие. М. МИОО-ОАО «Москвоские учебники», 2010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44. Никитина А. Б., Быков М. Ю., Рыбакова Ю. Н. «Театр Барокко и Классицизма». Специальный выпуск газеты «Искусство» №4 (460) 15-28 февраля 2011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45. Никитина А. Б., Быков М. Ю., Рыбакова Ю. Н., Супье С.В. «Театр эпохи Просвещения». Специальный выпуск газеты «Искусство» №6 (438) 16-31 марта 2010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46. Никитина А. Б. «Почему драма – не род литературы». «Единство и борьба противоположностей». «Литература» №17 (680), 1-15 сентября 2009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47. Никитина А. Б. Театр – школа действия. Журнал «Перекрёсток» (проблемы переходного возраста) №2 2010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48. Никитина А. Б., Салимзянов Д. Х., Быков М. Ю. Большая игра. Учебно-методическое пособие по организации фестивалей детского творчества. М. МИОО – 2008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49. Никитина А.Б. «Интегративный проект в рамках художественно-эстетического профиля» в сборнике «Модернизация художественно-эстетического образования». Издательство Центр «Школьная книга» Департамента образования города Москвы, 2008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50. Никитина А.Б. «Развитие компетенции чтения в образовательной среде детского театрального фестиваля» в сборнике Экранные искусства и театр в гуманитарном образовании. Проблемы и перспективы. Материалы Международной научно-практической конференции. 10-11 апреля 2012 г. Москва. ФГНУ «Институт художественного образования», ФГУ кинемотографии им. С.А.Герасимова, Московский международный фестиваль искусств «Новый мир».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51. Никитина А.Б., Кочерова Е.А. «Практики инициации открытой художественно-творческой образовательной среды». Материалы НОТВ-2013. X международная научно-методическая конференция «Новые образовательные технологии в ВУЗе. Сборник тезисов докладов. Екатеринбург, Министерство образования РФ, ФГАОУ ВПО УрФу им первого Президента России Б.Н.Ельцина, 2013 год.Педагогика искусства. Сборник материалов I Всероссийской конференции школьной театральной педагогики памяти Л.А.Сулержицкого. Составители Никитина А.Б., Климова Т.А., Москва, издательство "МАКС Пресс", 2013 год,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52. Никитина А.Б. Театр жизни. В Сб. Инновационные тенденции интеграции и гуманизации образования. Материалы Всероссийской конференции «Интеграция как условие гуманитаризации современного образования: Юсовские чтения. М: 2015, ФГБНУ «Институт художественного образования и культурологи РАО».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53. Ремез О. Мой друг театра. – Советская Россия,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54. Рыбакова Ю.Н., Гыске Е.В., Амосова И.Б., Никитина А.Б и группа специалистов Московского общественного центра Школьной театральной педагогики «Театральный урок в музее». Вестник московского образования №19, 2013 год. Официальное издание Московского Департамента Образования.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55. Седнёва А.Е., Юстус И.В. Театр в образовании Великобритании. Академический вестник Института педагогического образования взрослых РАО. №2, 2014 г. – стр. 112-115. (http://obrazovanie21.narod.ru/Files/2014-2_112-115.pdf)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56. Современный театр для детей: диалог театра и школы: Материалы театрально-педагогического Форума. Издание финансировано Министерством культуры и молодежной политики Самарской области в рамках проекта «Арт-панорама». 2008 год.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57. Стаина Ольга Алексеевна. Театральная педагогика в развитии импровизационных способностей подростков. Педагогика искусства. Электронный научный журнал учреждения РАО «Институт художественного образования» №1, 2011 год (http://www.art-education.ru/electronic-journal/teatralnaya-pedagogika-v-razvitii-improvizacionnyh-sposobnostey-podrostkov)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58. Тодорова Р.В., Дмитрова Р.И. Театральная атмосфера в классе. Forign Language Teaching, Варна, Болгария. Чуждоезиково обучение, година XL, книжка 3, 2013.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59. Толшин А.В. Импровизация и маска. Издательство Петрополис, 2011 год.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60. Толстых А. В. Психология юного зрителя. – М.: Знание, 1986.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61. Театральный фестиваль в школе. Учебно-методическое пособие по организации и проведению театрального фестиваля в школе и летнем лагере. Никитина А. Б., Рыбакова Ю. Н., Быков М. Ю., Супье С. В., Есина И. С., Кочнева Е. В., Незамутдинова А. И. М. МИОО-ОАО «Москвоские учебники», 2010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62. Театр, где играют дети. Учебно-методическое пособие для руководителей детских театральных коллективов. Под редакцией А. Б. Никитиной. Владос, М., - 2001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63. Театр-студия "Дали". Образовательные программы. Игровые уроки. Репертуар. Подзотовлено Всероссийским Центром художественного творчества при участии Центра творчества "На Вадковском" г. Москва, Автономной некоммерческой организации культуры и образования "Пролог". г. Глазов, Удмуртская республика. - 2001 г.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64. Цукасова Л.В., Волков Л.А. Театральная педагогика: Принципы, заповеди, советы. Изд. стереотип. 2014. - 192 с. (http://urss.ru/cgi-bin/db.pl?lang=Ru&amp;blang=ru&amp;page=Book&amp;id=175474)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65. Читатель в поиске. Под ред Асоновой Е.А. и Романичевой Е.С.: Москва: Библиомир, 2018 Развитие чтения методами театральной педагогики.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66. Чурилова Э. Г. Методика и организация театрализованной деятельности дошкольников и младших школьников. Программа и репертуар. Владос. М., 2001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67. Шапиро И.Ю., Михалёва О.А. «Применение методики безоценочного интервью в работе учителя» в сборнике «Модернизация художественно-эстетического образования». Издательство Центр «Школьная книга» Департамента образования города Москвы, 2008 г.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68. Школа творчества. Сб. авторских программ эстетического воспитания детей средствами театра. Серия "Я вхожу в мир искусства" № 3 - 1998 г. Учебно-методическая библиотечка. М., ВЦХТ.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69. Шулешко Е.Е.,Ершова А.П.,Букатов В.М. Социо-игровые подходы к педагогике./Красноярский краевой инст.усоверш.уч-лей; Фонд социальн.изобретений СССР.–Красноярск,1990.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70. Уроки театра на уроках в школе. Составитель А. П. Ершова. НИИХВ АПН СССР. М.1990 г. 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71. Фильштинский В. Открытая педагогика. Изд. «Балтийские сезоны», Санкт-Петенрбург, 2006 год, (http://biblioteka.portal-etud.ru/book/v-filshtinskii-otkrytaya-pedagogika#attachments)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8">
    <w:name w:val="Основной текст (8)_"/>
    <w:basedOn w:val="DefaultParagraphFont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23">
    <w:name w:val="Заголовок №2 (3)_"/>
    <w:basedOn w:val="DefaultParagraphFont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233">
    <w:name w:val="Заголовок №2 (3)3"/>
    <w:basedOn w:val="23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15">
    <w:name w:val="Основной текст (15)_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52">
    <w:name w:val="Основной текст (15)2"/>
    <w:basedOn w:val="15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811">
    <w:name w:val="Основной текст (8) + Полужирный1"/>
    <w:basedOn w:val="8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2">
    <w:name w:val="Основной текст + Полужирный2"/>
    <w:basedOn w:val="1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9">
    <w:name w:val="Основной текст (9)_"/>
    <w:basedOn w:val="DefaultParagraphFont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91">
    <w:name w:val="Основной текст (9)"/>
    <w:basedOn w:val="9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5">
    <w:name w:val="Заголовок №5 (5)_"/>
    <w:basedOn w:val="DefaultParagraphFont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51">
    <w:name w:val="Заголовок №5 (5)"/>
    <w:basedOn w:val="5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21">
    <w:name w:val="Основной текст + Курсив2"/>
    <w:basedOn w:val="1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45">
    <w:name w:val="Заголовок №4 (5)_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2">
    <w:name w:val="Заголовок №4 (5) + Полужирный2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3">
    <w:name w:val="Заголовок №4 (5)3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1">
    <w:name w:val="Заголовок №4 (5) + Полужирный1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21">
    <w:name w:val="Заголовок №4 (5)2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837">
    <w:name w:val="Основной текст (8)37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1">
    <w:name w:val="Заголовок №2 (3)1"/>
    <w:basedOn w:val="Normal"/>
    <w:qFormat/>
    <w:pPr>
      <w:shd w:val="clear" w:color="auto" w:fill="FFFFFF"/>
      <w:spacing w:lineRule="exact" w:line="230" w:before="420" w:after="180"/>
      <w:ind w:hanging="800"/>
      <w:outlineLvl w:val="1"/>
    </w:pPr>
    <w:rPr>
      <w:rFonts w:ascii="Microsoft Sans Serif" w:hAnsi="Microsoft Sans Serif" w:eastAsia="Calibri" w:cs="Microsoft Sans Serif" w:eastAsiaTheme="minorHAnsi"/>
      <w:b/>
      <w:bCs/>
      <w:color w:val="auto"/>
      <w:sz w:val="20"/>
      <w:szCs w:val="20"/>
      <w:lang w:eastAsia="en-US"/>
    </w:rPr>
  </w:style>
  <w:style w:type="paragraph" w:styleId="151">
    <w:name w:val="Основной текст (15)1"/>
    <w:basedOn w:val="Normal"/>
    <w:qFormat/>
    <w:pPr>
      <w:shd w:val="clear" w:color="auto" w:fill="FFFFFF"/>
      <w:spacing w:lineRule="exact" w:line="240" w:before="180" w:after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18"/>
      <w:szCs w:val="18"/>
      <w:lang w:eastAsia="en-US"/>
    </w:rPr>
  </w:style>
  <w:style w:type="paragraph" w:styleId="812">
    <w:name w:val="Основной текст (8)1"/>
    <w:basedOn w:val="Normal"/>
    <w:qFormat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Calibri" w:cs="Times New Roman" w:eastAsiaTheme="minorHAnsi"/>
      <w:i/>
      <w:iCs/>
      <w:color w:val="auto"/>
      <w:sz w:val="18"/>
      <w:szCs w:val="18"/>
      <w:lang w:eastAsia="en-US"/>
    </w:rPr>
  </w:style>
  <w:style w:type="paragraph" w:styleId="5511">
    <w:name w:val="Заголовок №5 (5)1"/>
    <w:basedOn w:val="Normal"/>
    <w:qFormat/>
    <w:pPr>
      <w:shd w:val="clear" w:color="auto" w:fill="FFFFFF"/>
      <w:spacing w:lineRule="exact" w:line="226" w:before="0" w:after="120"/>
      <w:ind w:firstLine="240"/>
      <w:jc w:val="both"/>
      <w:outlineLvl w:val="4"/>
    </w:pPr>
    <w:rPr>
      <w:rFonts w:ascii="Times New Roman" w:hAnsi="Times New Roman" w:eastAsia="Calibri" w:cs="Times New Roman" w:eastAsiaTheme="minorHAnsi"/>
      <w:b/>
      <w:bCs/>
      <w:color w:val="auto"/>
      <w:sz w:val="18"/>
      <w:szCs w:val="18"/>
      <w:lang w:eastAsia="en-US"/>
    </w:rPr>
  </w:style>
  <w:style w:type="paragraph" w:styleId="4511">
    <w:name w:val="Заголовок №4 (5)1"/>
    <w:basedOn w:val="Normal"/>
    <w:qFormat/>
    <w:pPr>
      <w:shd w:val="clear" w:color="auto" w:fill="FFFFFF"/>
      <w:spacing w:lineRule="exact" w:line="240"/>
      <w:jc w:val="both"/>
      <w:outlineLvl w:val="3"/>
    </w:pPr>
    <w:rPr>
      <w:rFonts w:ascii="Times New Roman" w:hAnsi="Times New Roman" w:eastAsia="Calibri" w:cs="Times New Roman" w:eastAsiaTheme="minorHAnsi"/>
      <w:color w:val="auto"/>
      <w:sz w:val="18"/>
      <w:szCs w:val="18"/>
      <w:lang w:eastAsia="en-US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LibreOffice/24.8.4.2$Windows_X86_64 LibreOffice_project/bb3cfa12c7b1bf994ecc5649a80400d06cd71002</Application>
  <AppVersion>15.0000</AppVersion>
  <Pages>7</Pages>
  <Words>1845</Words>
  <Characters>13117</Characters>
  <CharactersWithSpaces>15198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2025-01-27T12:19:06Z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