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0CC" w:rsidRPr="003B7F83" w:rsidRDefault="001520CC" w:rsidP="001520CC">
      <w:pPr>
        <w:shd w:val="clear" w:color="auto" w:fill="FFFFFF"/>
        <w:spacing w:after="0" w:line="360" w:lineRule="auto"/>
        <w:jc w:val="both"/>
        <w:rPr>
          <w:rFonts w:ascii="Times New Roman" w:hAnsi="Times New Roman"/>
          <w:snapToGrid w:val="0"/>
          <w:sz w:val="28"/>
          <w:szCs w:val="28"/>
        </w:rPr>
      </w:pPr>
      <w:r w:rsidRPr="003B7F83">
        <w:rPr>
          <w:rFonts w:ascii="Times New Roman" w:hAnsi="Times New Roman"/>
          <w:snapToGrid w:val="0"/>
          <w:sz w:val="28"/>
          <w:szCs w:val="28"/>
        </w:rPr>
        <w:t>Таблица 6.6</w:t>
      </w:r>
      <w:r>
        <w:rPr>
          <w:rFonts w:ascii="Times New Roman" w:hAnsi="Times New Roman"/>
          <w:snapToGrid w:val="0"/>
          <w:sz w:val="28"/>
          <w:szCs w:val="28"/>
        </w:rPr>
        <w:t xml:space="preserve"> - </w:t>
      </w:r>
      <w:r w:rsidRPr="003B7F83">
        <w:rPr>
          <w:rFonts w:ascii="Times New Roman" w:hAnsi="Times New Roman"/>
          <w:snapToGrid w:val="0"/>
          <w:sz w:val="28"/>
          <w:szCs w:val="28"/>
        </w:rPr>
        <w:t>Основные характеристики эффективности денежных потоков</w:t>
      </w:r>
      <w:r>
        <w:rPr>
          <w:rFonts w:ascii="Times New Roman" w:hAnsi="Times New Roman"/>
          <w:snapToGrid w:val="0"/>
          <w:sz w:val="28"/>
          <w:szCs w:val="28"/>
        </w:rPr>
        <w:t xml:space="preserve"> </w:t>
      </w:r>
      <w:r w:rsidRPr="003B7F83">
        <w:rPr>
          <w:rFonts w:ascii="Times New Roman" w:hAnsi="Times New Roman"/>
          <w:snapToGrid w:val="0"/>
          <w:sz w:val="28"/>
          <w:szCs w:val="28"/>
        </w:rPr>
        <w:t>предприятия</w:t>
      </w:r>
      <w:r>
        <w:rPr>
          <w:rStyle w:val="a5"/>
          <w:rFonts w:ascii="Times New Roman" w:hAnsi="Times New Roman"/>
          <w:snapToGrid w:val="0"/>
          <w:sz w:val="28"/>
          <w:szCs w:val="28"/>
        </w:rPr>
        <w:footnoteReference w:id="1"/>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50"/>
        <w:gridCol w:w="7229"/>
      </w:tblGrid>
      <w:tr w:rsidR="001520CC" w:rsidRPr="003B7F83" w:rsidTr="0088498D">
        <w:trPr>
          <w:trHeight w:val="483"/>
        </w:trPr>
        <w:tc>
          <w:tcPr>
            <w:tcW w:w="1668" w:type="dxa"/>
            <w:vMerge w:val="restart"/>
          </w:tcPr>
          <w:p w:rsidR="001520CC" w:rsidRPr="003B7F83"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Показатель</w:t>
            </w:r>
          </w:p>
        </w:tc>
        <w:tc>
          <w:tcPr>
            <w:tcW w:w="850" w:type="dxa"/>
            <w:vMerge w:val="restart"/>
          </w:tcPr>
          <w:p w:rsidR="001520CC" w:rsidRPr="003B7F83" w:rsidRDefault="001520CC" w:rsidP="0088498D">
            <w:pPr>
              <w:spacing w:after="0" w:line="240" w:lineRule="auto"/>
              <w:jc w:val="both"/>
              <w:rPr>
                <w:rFonts w:ascii="Times New Roman" w:hAnsi="Times New Roman"/>
                <w:snapToGrid w:val="0"/>
                <w:sz w:val="24"/>
                <w:szCs w:val="24"/>
              </w:rPr>
            </w:pPr>
            <w:proofErr w:type="spellStart"/>
            <w:r w:rsidRPr="003B7F83">
              <w:rPr>
                <w:rFonts w:ascii="Times New Roman" w:hAnsi="Times New Roman"/>
                <w:snapToGrid w:val="0"/>
                <w:sz w:val="24"/>
                <w:szCs w:val="24"/>
              </w:rPr>
              <w:t>Индефикатор</w:t>
            </w:r>
            <w:proofErr w:type="spellEnd"/>
          </w:p>
        </w:tc>
        <w:tc>
          <w:tcPr>
            <w:tcW w:w="7229" w:type="dxa"/>
            <w:vMerge w:val="restart"/>
          </w:tcPr>
          <w:p w:rsidR="001520CC"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Формула для расчета</w:t>
            </w:r>
          </w:p>
          <w:p w:rsidR="001520CC" w:rsidRPr="003B7F83" w:rsidRDefault="001520CC" w:rsidP="0088498D">
            <w:pPr>
              <w:spacing w:after="0" w:line="240" w:lineRule="auto"/>
              <w:jc w:val="both"/>
              <w:rPr>
                <w:rFonts w:ascii="Times New Roman" w:hAnsi="Times New Roman"/>
                <w:snapToGrid w:val="0"/>
                <w:sz w:val="24"/>
                <w:szCs w:val="24"/>
              </w:rPr>
            </w:pPr>
          </w:p>
        </w:tc>
      </w:tr>
      <w:tr w:rsidR="001520CC" w:rsidRPr="003B7F83" w:rsidTr="0088498D">
        <w:trPr>
          <w:trHeight w:val="483"/>
        </w:trPr>
        <w:tc>
          <w:tcPr>
            <w:tcW w:w="1668" w:type="dxa"/>
            <w:vMerge/>
          </w:tcPr>
          <w:p w:rsidR="001520CC" w:rsidRPr="003B7F83" w:rsidRDefault="001520CC" w:rsidP="0088498D">
            <w:pPr>
              <w:spacing w:after="0" w:line="240" w:lineRule="auto"/>
              <w:jc w:val="both"/>
              <w:rPr>
                <w:rFonts w:ascii="Times New Roman" w:hAnsi="Times New Roman"/>
                <w:snapToGrid w:val="0"/>
                <w:sz w:val="24"/>
                <w:szCs w:val="24"/>
              </w:rPr>
            </w:pPr>
          </w:p>
        </w:tc>
        <w:tc>
          <w:tcPr>
            <w:tcW w:w="850" w:type="dxa"/>
            <w:vMerge/>
          </w:tcPr>
          <w:p w:rsidR="001520CC" w:rsidRPr="003B7F83" w:rsidRDefault="001520CC" w:rsidP="0088498D">
            <w:pPr>
              <w:spacing w:after="0" w:line="240" w:lineRule="auto"/>
              <w:jc w:val="both"/>
              <w:rPr>
                <w:rFonts w:ascii="Times New Roman" w:hAnsi="Times New Roman"/>
                <w:snapToGrid w:val="0"/>
                <w:sz w:val="24"/>
                <w:szCs w:val="24"/>
              </w:rPr>
            </w:pPr>
          </w:p>
        </w:tc>
        <w:tc>
          <w:tcPr>
            <w:tcW w:w="7229" w:type="dxa"/>
            <w:vMerge/>
          </w:tcPr>
          <w:p w:rsidR="001520CC" w:rsidRPr="003B7F83" w:rsidRDefault="001520CC" w:rsidP="0088498D">
            <w:pPr>
              <w:spacing w:after="0" w:line="240" w:lineRule="auto"/>
              <w:jc w:val="both"/>
              <w:rPr>
                <w:rFonts w:ascii="Times New Roman" w:hAnsi="Times New Roman"/>
                <w:snapToGrid w:val="0"/>
                <w:sz w:val="24"/>
                <w:szCs w:val="24"/>
              </w:rPr>
            </w:pPr>
          </w:p>
        </w:tc>
      </w:tr>
      <w:tr w:rsidR="001520CC" w:rsidRPr="003B7F83" w:rsidTr="0088498D">
        <w:tc>
          <w:tcPr>
            <w:tcW w:w="1668" w:type="dxa"/>
          </w:tcPr>
          <w:p w:rsidR="001520CC" w:rsidRPr="003B7F83"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1</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2</w:t>
            </w:r>
          </w:p>
        </w:tc>
        <w:tc>
          <w:tcPr>
            <w:tcW w:w="7229"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3</w:t>
            </w:r>
          </w:p>
        </w:tc>
      </w:tr>
      <w:tr w:rsidR="001520CC" w:rsidRPr="003B7F83" w:rsidTr="0088498D">
        <w:trPr>
          <w:trHeight w:val="1385"/>
        </w:trPr>
        <w:tc>
          <w:tcPr>
            <w:tcW w:w="1668" w:type="dxa"/>
          </w:tcPr>
          <w:p w:rsidR="001520CC" w:rsidRPr="003B7F83" w:rsidRDefault="001520CC" w:rsidP="0088498D">
            <w:pPr>
              <w:spacing w:after="0" w:line="240" w:lineRule="auto"/>
              <w:jc w:val="both"/>
              <w:rPr>
                <w:rFonts w:ascii="Times New Roman" w:hAnsi="Times New Roman"/>
                <w:snapToGrid w:val="0"/>
                <w:sz w:val="24"/>
                <w:szCs w:val="24"/>
              </w:rPr>
            </w:pPr>
            <w:bookmarkStart w:id="0" w:name="_GoBack" w:colFirst="2" w:colLast="2"/>
            <w:r w:rsidRPr="003B7F83">
              <w:rPr>
                <w:rFonts w:ascii="Times New Roman" w:hAnsi="Times New Roman"/>
                <w:snapToGrid w:val="0"/>
                <w:sz w:val="24"/>
                <w:szCs w:val="24"/>
              </w:rPr>
              <w:t>Чистый денежный поток предприятия</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ЧДП</w:t>
            </w:r>
          </w:p>
        </w:tc>
        <w:tc>
          <w:tcPr>
            <w:tcW w:w="7229" w:type="dxa"/>
          </w:tcPr>
          <w:p w:rsidR="001520CC" w:rsidRDefault="001520CC" w:rsidP="0088498D">
            <w:pPr>
              <w:keepNext/>
              <w:widowControl w:val="0"/>
              <w:spacing w:after="0" w:line="240" w:lineRule="auto"/>
              <w:jc w:val="both"/>
              <w:rPr>
                <w:rFonts w:ascii="Times New Roman" w:hAnsi="Times New Roman"/>
                <w:snapToGrid w:val="0"/>
                <w:sz w:val="24"/>
                <w:szCs w:val="24"/>
              </w:rPr>
            </w:pPr>
            <w:r w:rsidRPr="00A9364F">
              <w:rPr>
                <w:rFonts w:ascii="Times New Roman" w:hAnsi="Times New Roman"/>
                <w:snapToGrid w:val="0"/>
                <w:position w:val="-28"/>
                <w:sz w:val="24"/>
                <w:szCs w:val="24"/>
              </w:rPr>
              <w:object w:dxaOrig="42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85pt;height:32.15pt" o:ole="">
                  <v:imagedata r:id="rId6" o:title=""/>
                </v:shape>
                <o:OLEObject Type="Embed" ProgID="Equation.3" ShapeID="_x0000_i1025" DrawAspect="Content" ObjectID="_1733388764" r:id="rId7"/>
              </w:object>
            </w:r>
            <w:r w:rsidRPr="003B7F83">
              <w:rPr>
                <w:rFonts w:ascii="Times New Roman" w:hAnsi="Times New Roman"/>
                <w:snapToGrid w:val="0"/>
                <w:sz w:val="24"/>
                <w:szCs w:val="24"/>
              </w:rPr>
              <w:t xml:space="preserve"> </w:t>
            </w:r>
          </w:p>
          <w:p w:rsidR="001520CC" w:rsidRPr="009B5BFE"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 xml:space="preserve">Чистый денежный поток (англ. </w:t>
            </w:r>
            <w:proofErr w:type="spellStart"/>
            <w:r w:rsidRPr="009B5BFE">
              <w:rPr>
                <w:rFonts w:ascii="Times New Roman" w:hAnsi="Times New Roman"/>
                <w:snapToGrid w:val="0"/>
                <w:sz w:val="24"/>
                <w:szCs w:val="24"/>
              </w:rPr>
              <w:t>Net</w:t>
            </w:r>
            <w:proofErr w:type="spellEnd"/>
            <w:r w:rsidRPr="009B5BFE">
              <w:rPr>
                <w:rFonts w:ascii="Times New Roman" w:hAnsi="Times New Roman"/>
                <w:snapToGrid w:val="0"/>
                <w:sz w:val="24"/>
                <w:szCs w:val="24"/>
              </w:rPr>
              <w:t xml:space="preserve"> </w:t>
            </w:r>
            <w:proofErr w:type="spellStart"/>
            <w:r w:rsidRPr="009B5BFE">
              <w:rPr>
                <w:rFonts w:ascii="Times New Roman" w:hAnsi="Times New Roman"/>
                <w:snapToGrid w:val="0"/>
                <w:sz w:val="24"/>
                <w:szCs w:val="24"/>
              </w:rPr>
              <w:t>Cash</w:t>
            </w:r>
            <w:proofErr w:type="spellEnd"/>
            <w:r w:rsidRPr="009B5BFE">
              <w:rPr>
                <w:rFonts w:ascii="Times New Roman" w:hAnsi="Times New Roman"/>
                <w:snapToGrid w:val="0"/>
                <w:sz w:val="24"/>
                <w:szCs w:val="24"/>
              </w:rPr>
              <w:t xml:space="preserve"> </w:t>
            </w:r>
            <w:proofErr w:type="spellStart"/>
            <w:r w:rsidRPr="009B5BFE">
              <w:rPr>
                <w:rFonts w:ascii="Times New Roman" w:hAnsi="Times New Roman"/>
                <w:snapToGrid w:val="0"/>
                <w:sz w:val="24"/>
                <w:szCs w:val="24"/>
              </w:rPr>
              <w:t>Flow</w:t>
            </w:r>
            <w:proofErr w:type="spellEnd"/>
            <w:r w:rsidRPr="009B5BFE">
              <w:rPr>
                <w:rFonts w:ascii="Times New Roman" w:hAnsi="Times New Roman"/>
                <w:snapToGrid w:val="0"/>
                <w:sz w:val="24"/>
                <w:szCs w:val="24"/>
              </w:rPr>
              <w:t xml:space="preserve">, </w:t>
            </w:r>
            <w:proofErr w:type="spellStart"/>
            <w:r w:rsidRPr="009B5BFE">
              <w:rPr>
                <w:rFonts w:ascii="Times New Roman" w:hAnsi="Times New Roman"/>
                <w:snapToGrid w:val="0"/>
                <w:sz w:val="24"/>
                <w:szCs w:val="24"/>
              </w:rPr>
              <w:t>Net</w:t>
            </w:r>
            <w:proofErr w:type="spellEnd"/>
            <w:r w:rsidRPr="009B5BFE">
              <w:rPr>
                <w:rFonts w:ascii="Times New Roman" w:hAnsi="Times New Roman"/>
                <w:snapToGrid w:val="0"/>
                <w:sz w:val="24"/>
                <w:szCs w:val="24"/>
              </w:rPr>
              <w:t xml:space="preserve"> </w:t>
            </w:r>
            <w:proofErr w:type="spellStart"/>
            <w:r w:rsidRPr="009B5BFE">
              <w:rPr>
                <w:rFonts w:ascii="Times New Roman" w:hAnsi="Times New Roman"/>
                <w:snapToGrid w:val="0"/>
                <w:sz w:val="24"/>
                <w:szCs w:val="24"/>
              </w:rPr>
              <w:t>Value</w:t>
            </w:r>
            <w:proofErr w:type="spellEnd"/>
            <w:r w:rsidRPr="009B5BFE">
              <w:rPr>
                <w:rFonts w:ascii="Times New Roman" w:hAnsi="Times New Roman"/>
                <w:snapToGrid w:val="0"/>
                <w:sz w:val="24"/>
                <w:szCs w:val="24"/>
              </w:rPr>
              <w:t>, NCF, текущая стоимость) – является ключевым показателем инвестиционного анализа и показывает разницу между положительным и отрицательным денежным потоком за выбранный промежуток времени. Чистый денежный поток представляет собой сумму денежного потока от операционной, финансовой и инвестиционной деятельности предприятия.</w:t>
            </w:r>
          </w:p>
          <w:p w:rsidR="001520CC" w:rsidRPr="009B5BFE"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 xml:space="preserve">Чистый денежный поток используется инвесторами, собственниками и кредиторами для оценки эффективности вложения в инвестиционный проект/предприятие. Чем выше значение чистого денежного потока, тем более </w:t>
            </w:r>
            <w:proofErr w:type="spellStart"/>
            <w:r w:rsidRPr="009B5BFE">
              <w:rPr>
                <w:rFonts w:ascii="Times New Roman" w:hAnsi="Times New Roman"/>
                <w:snapToGrid w:val="0"/>
                <w:sz w:val="24"/>
                <w:szCs w:val="24"/>
              </w:rPr>
              <w:t>инвестиционно</w:t>
            </w:r>
            <w:proofErr w:type="spellEnd"/>
            <w:r w:rsidRPr="009B5BFE">
              <w:rPr>
                <w:rFonts w:ascii="Times New Roman" w:hAnsi="Times New Roman"/>
                <w:snapToGrid w:val="0"/>
                <w:sz w:val="24"/>
                <w:szCs w:val="24"/>
              </w:rPr>
              <w:t xml:space="preserve"> привлекателен прое</w:t>
            </w:r>
            <w:proofErr w:type="gramStart"/>
            <w:r w:rsidRPr="009B5BFE">
              <w:rPr>
                <w:rFonts w:ascii="Times New Roman" w:hAnsi="Times New Roman"/>
                <w:snapToGrid w:val="0"/>
                <w:sz w:val="24"/>
                <w:szCs w:val="24"/>
              </w:rPr>
              <w:t>кт в гл</w:t>
            </w:r>
            <w:proofErr w:type="gramEnd"/>
            <w:r w:rsidRPr="009B5BFE">
              <w:rPr>
                <w:rFonts w:ascii="Times New Roman" w:hAnsi="Times New Roman"/>
                <w:snapToGrid w:val="0"/>
                <w:sz w:val="24"/>
                <w:szCs w:val="24"/>
              </w:rPr>
              <w:t>азах инвестора и кредитора.</w:t>
            </w:r>
          </w:p>
          <w:p w:rsidR="001520CC" w:rsidRPr="009B5BFE"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NCF &gt; 0</w:t>
            </w:r>
            <w:r w:rsidRPr="009B5BFE">
              <w:rPr>
                <w:rFonts w:ascii="Times New Roman" w:hAnsi="Times New Roman"/>
                <w:snapToGrid w:val="0"/>
                <w:sz w:val="24"/>
                <w:szCs w:val="24"/>
              </w:rPr>
              <w:tab/>
              <w:t>Инвестиционный проект привлекателен для осуществления вложения</w:t>
            </w:r>
          </w:p>
          <w:p w:rsidR="001520CC" w:rsidRPr="009B5BFE"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NCF ≤ 0</w:t>
            </w:r>
            <w:r w:rsidRPr="009B5BFE">
              <w:rPr>
                <w:rFonts w:ascii="Times New Roman" w:hAnsi="Times New Roman"/>
                <w:snapToGrid w:val="0"/>
                <w:sz w:val="24"/>
                <w:szCs w:val="24"/>
              </w:rPr>
              <w:tab/>
              <w:t>Инвестиционный проект не имеет денежных сре</w:t>
            </w:r>
            <w:proofErr w:type="gramStart"/>
            <w:r w:rsidRPr="009B5BFE">
              <w:rPr>
                <w:rFonts w:ascii="Times New Roman" w:hAnsi="Times New Roman"/>
                <w:snapToGrid w:val="0"/>
                <w:sz w:val="24"/>
                <w:szCs w:val="24"/>
              </w:rPr>
              <w:t>дств дл</w:t>
            </w:r>
            <w:proofErr w:type="gramEnd"/>
            <w:r w:rsidRPr="009B5BFE">
              <w:rPr>
                <w:rFonts w:ascii="Times New Roman" w:hAnsi="Times New Roman"/>
                <w:snapToGrid w:val="0"/>
                <w:sz w:val="24"/>
                <w:szCs w:val="24"/>
              </w:rPr>
              <w:t>я увеличения стоимости и его необходимо отклонить</w: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NCF1 &gt; NCF2</w:t>
            </w:r>
            <w:r w:rsidRPr="009B5BFE">
              <w:rPr>
                <w:rFonts w:ascii="Times New Roman" w:hAnsi="Times New Roman"/>
                <w:snapToGrid w:val="0"/>
                <w:sz w:val="24"/>
                <w:szCs w:val="24"/>
              </w:rPr>
              <w:tab/>
              <w:t>Инвестиционный проект (1) более привлекателен нежели (2)</w:t>
            </w:r>
          </w:p>
        </w:tc>
      </w:tr>
      <w:tr w:rsidR="001520CC" w:rsidRPr="003B7F83" w:rsidTr="0088498D">
        <w:tc>
          <w:tcPr>
            <w:tcW w:w="1668" w:type="dxa"/>
          </w:tcPr>
          <w:p w:rsidR="001520CC" w:rsidRPr="003B7F83" w:rsidRDefault="001520CC" w:rsidP="0088498D">
            <w:pPr>
              <w:spacing w:after="0" w:line="240" w:lineRule="auto"/>
              <w:jc w:val="both"/>
              <w:rPr>
                <w:rFonts w:ascii="Times New Roman" w:hAnsi="Times New Roman"/>
                <w:snapToGrid w:val="0"/>
                <w:sz w:val="24"/>
                <w:szCs w:val="24"/>
              </w:rPr>
            </w:pPr>
            <w:r w:rsidRPr="00A9364F">
              <w:rPr>
                <w:rFonts w:ascii="Times New Roman" w:hAnsi="Times New Roman"/>
                <w:snapToGrid w:val="0"/>
                <w:sz w:val="24"/>
                <w:szCs w:val="24"/>
              </w:rPr>
              <w:t xml:space="preserve">Коэффициент </w:t>
            </w:r>
            <w:proofErr w:type="spellStart"/>
            <w:proofErr w:type="gramStart"/>
            <w:r w:rsidRPr="00A9364F">
              <w:rPr>
                <w:rFonts w:ascii="Times New Roman" w:hAnsi="Times New Roman"/>
                <w:snapToGrid w:val="0"/>
                <w:sz w:val="24"/>
                <w:szCs w:val="24"/>
              </w:rPr>
              <w:t>эффективно-сти</w:t>
            </w:r>
            <w:proofErr w:type="spellEnd"/>
            <w:proofErr w:type="gramEnd"/>
            <w:r w:rsidRPr="00A9364F">
              <w:rPr>
                <w:rFonts w:ascii="Times New Roman" w:hAnsi="Times New Roman"/>
                <w:snapToGrid w:val="0"/>
                <w:sz w:val="24"/>
                <w:szCs w:val="24"/>
              </w:rPr>
              <w:t xml:space="preserve"> </w:t>
            </w:r>
            <w:proofErr w:type="spellStart"/>
            <w:r w:rsidRPr="00A9364F">
              <w:rPr>
                <w:rFonts w:ascii="Times New Roman" w:hAnsi="Times New Roman"/>
                <w:snapToGrid w:val="0"/>
                <w:sz w:val="24"/>
                <w:szCs w:val="24"/>
              </w:rPr>
              <w:t>денежно-го</w:t>
            </w:r>
            <w:proofErr w:type="spellEnd"/>
            <w:r w:rsidRPr="00A9364F">
              <w:rPr>
                <w:rFonts w:ascii="Times New Roman" w:hAnsi="Times New Roman"/>
                <w:snapToGrid w:val="0"/>
                <w:sz w:val="24"/>
                <w:szCs w:val="24"/>
              </w:rPr>
              <w:t xml:space="preserve"> потока</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proofErr w:type="spellStart"/>
            <w:r w:rsidRPr="003B7F83">
              <w:rPr>
                <w:rFonts w:ascii="Times New Roman" w:hAnsi="Times New Roman"/>
                <w:snapToGrid w:val="0"/>
                <w:sz w:val="24"/>
                <w:szCs w:val="24"/>
              </w:rPr>
              <w:t>Кэдп</w:t>
            </w:r>
            <w:proofErr w:type="spellEnd"/>
          </w:p>
        </w:tc>
        <w:tc>
          <w:tcPr>
            <w:tcW w:w="7229" w:type="dxa"/>
          </w:tcPr>
          <w:p w:rsidR="001520CC" w:rsidRDefault="001520CC" w:rsidP="0088498D">
            <w:pPr>
              <w:keepNext/>
              <w:widowControl w:val="0"/>
              <w:spacing w:after="0" w:line="240" w:lineRule="auto"/>
              <w:jc w:val="both"/>
              <w:rPr>
                <w:rFonts w:ascii="Times New Roman" w:hAnsi="Times New Roman"/>
                <w:snapToGrid w:val="0"/>
                <w:sz w:val="24"/>
                <w:szCs w:val="24"/>
              </w:rPr>
            </w:pPr>
            <w:r w:rsidRPr="00A9364F">
              <w:rPr>
                <w:rFonts w:ascii="Times New Roman" w:hAnsi="Times New Roman"/>
                <w:snapToGrid w:val="0"/>
                <w:position w:val="-28"/>
                <w:sz w:val="24"/>
                <w:szCs w:val="24"/>
              </w:rPr>
              <w:object w:dxaOrig="4900" w:dyaOrig="660">
                <v:shape id="_x0000_i1026" type="#_x0000_t75" style="width:244.3pt;height:32.15pt" o:ole="">
                  <v:imagedata r:id="rId8" o:title=""/>
                </v:shape>
                <o:OLEObject Type="Embed" ProgID="Equation.3" ShapeID="_x0000_i1026" DrawAspect="Content" ObjectID="_1733388765" r:id="rId9"/>
              </w:objec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 xml:space="preserve">где ОДП </w:t>
            </w:r>
            <w:r>
              <w:rPr>
                <w:rFonts w:ascii="Times New Roman" w:hAnsi="Times New Roman"/>
                <w:snapToGrid w:val="0"/>
                <w:sz w:val="24"/>
                <w:szCs w:val="24"/>
              </w:rPr>
              <w:t>- о</w:t>
            </w:r>
            <w:r w:rsidRPr="00A9364F">
              <w:rPr>
                <w:rFonts w:ascii="Times New Roman" w:hAnsi="Times New Roman"/>
                <w:snapToGrid w:val="0"/>
                <w:sz w:val="24"/>
                <w:szCs w:val="24"/>
              </w:rPr>
              <w:t xml:space="preserve">бщая сумма денежных платежей за период </w:t>
            </w:r>
            <w:r w:rsidRPr="003B7F83">
              <w:rPr>
                <w:rFonts w:ascii="Times New Roman" w:hAnsi="Times New Roman"/>
                <w:snapToGrid w:val="0"/>
                <w:sz w:val="24"/>
                <w:szCs w:val="24"/>
              </w:rPr>
              <w:t>(расходования денежных средств); ЧДП – чистый денежный поток</w:t>
            </w:r>
          </w:p>
          <w:p w:rsidR="001520CC" w:rsidRDefault="001520CC" w:rsidP="0088498D">
            <w:pPr>
              <w:keepNext/>
              <w:widowControl w:val="0"/>
              <w:spacing w:after="0" w:line="240" w:lineRule="auto"/>
              <w:jc w:val="both"/>
              <w:rPr>
                <w:rFonts w:ascii="Times New Roman" w:hAnsi="Times New Roman"/>
                <w:sz w:val="24"/>
                <w:szCs w:val="24"/>
                <w:shd w:val="clear" w:color="auto" w:fill="FFFFFF"/>
              </w:rPr>
            </w:pPr>
            <w:r w:rsidRPr="003B7F83">
              <w:rPr>
                <w:rFonts w:ascii="Times New Roman" w:hAnsi="Times New Roman"/>
                <w:sz w:val="24"/>
                <w:szCs w:val="24"/>
                <w:shd w:val="clear" w:color="auto" w:fill="FFFFFF"/>
              </w:rPr>
              <w:t>Эффективность формирования денежных потоков характеризуется наличием и приростом денежного капитала на счетах предприятия, что показывает коэффициент эффективности денежного потока (</w:t>
            </w:r>
            <w:proofErr w:type="spellStart"/>
            <w:r w:rsidRPr="003B7F83">
              <w:rPr>
                <w:rFonts w:ascii="Times New Roman" w:hAnsi="Times New Roman"/>
                <w:sz w:val="24"/>
                <w:szCs w:val="24"/>
                <w:shd w:val="clear" w:color="auto" w:fill="FFFFFF"/>
              </w:rPr>
              <w:t>КЭдп</w:t>
            </w:r>
            <w:proofErr w:type="spellEnd"/>
            <w:r w:rsidRPr="003B7F83">
              <w:rPr>
                <w:rFonts w:ascii="Times New Roman" w:hAnsi="Times New Roman"/>
                <w:sz w:val="24"/>
                <w:szCs w:val="24"/>
                <w:shd w:val="clear" w:color="auto" w:fill="FFFFFF"/>
              </w:rPr>
              <w:t>).</w: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C32992">
              <w:rPr>
                <w:rFonts w:ascii="Times New Roman" w:hAnsi="Times New Roman"/>
                <w:snapToGrid w:val="0"/>
                <w:sz w:val="24"/>
                <w:szCs w:val="24"/>
              </w:rPr>
              <w:t>Если значения показателей в динамике увеличиваются, то уровень эффективности управления отрицательными денежными потоками растет.</w:t>
            </w:r>
          </w:p>
        </w:tc>
      </w:tr>
      <w:tr w:rsidR="001520CC" w:rsidRPr="003B7F83" w:rsidTr="0088498D">
        <w:tc>
          <w:tcPr>
            <w:tcW w:w="1668" w:type="dxa"/>
          </w:tcPr>
          <w:p w:rsidR="001520CC" w:rsidRPr="00A9364F" w:rsidRDefault="001520CC" w:rsidP="0088498D">
            <w:pPr>
              <w:spacing w:after="0" w:line="240" w:lineRule="auto"/>
              <w:jc w:val="both"/>
              <w:rPr>
                <w:rFonts w:ascii="Times New Roman" w:hAnsi="Times New Roman"/>
                <w:snapToGrid w:val="0"/>
                <w:color w:val="000000"/>
                <w:sz w:val="24"/>
                <w:szCs w:val="24"/>
              </w:rPr>
            </w:pPr>
            <w:r w:rsidRPr="00A9364F">
              <w:rPr>
                <w:rFonts w:ascii="Times New Roman" w:hAnsi="Times New Roman"/>
                <w:snapToGrid w:val="0"/>
                <w:color w:val="000000"/>
                <w:sz w:val="24"/>
                <w:szCs w:val="24"/>
              </w:rPr>
              <w:t xml:space="preserve">Коэффициент ликвидности денежного потока </w:t>
            </w:r>
          </w:p>
        </w:tc>
        <w:tc>
          <w:tcPr>
            <w:tcW w:w="850" w:type="dxa"/>
          </w:tcPr>
          <w:p w:rsidR="001520CC" w:rsidRPr="00A9364F" w:rsidRDefault="001520CC" w:rsidP="0088498D">
            <w:pPr>
              <w:keepNext/>
              <w:widowControl w:val="0"/>
              <w:spacing w:after="0" w:line="240" w:lineRule="auto"/>
              <w:jc w:val="both"/>
              <w:rPr>
                <w:rFonts w:ascii="Times New Roman" w:hAnsi="Times New Roman"/>
                <w:snapToGrid w:val="0"/>
                <w:color w:val="000000"/>
                <w:sz w:val="24"/>
                <w:szCs w:val="24"/>
              </w:rPr>
            </w:pPr>
            <w:r w:rsidRPr="00A9364F">
              <w:rPr>
                <w:rFonts w:ascii="Times New Roman" w:hAnsi="Times New Roman"/>
                <w:snapToGrid w:val="0"/>
                <w:color w:val="000000"/>
                <w:sz w:val="24"/>
                <w:szCs w:val="24"/>
              </w:rPr>
              <w:t>К</w:t>
            </w:r>
            <w:r w:rsidRPr="00A9364F">
              <w:rPr>
                <w:rFonts w:ascii="Times New Roman" w:hAnsi="Times New Roman"/>
                <w:snapToGrid w:val="0"/>
                <w:color w:val="000000"/>
                <w:sz w:val="24"/>
                <w:szCs w:val="24"/>
                <w:vertAlign w:val="subscript"/>
              </w:rPr>
              <w:t>ЛДН</w:t>
            </w:r>
          </w:p>
        </w:tc>
        <w:tc>
          <w:tcPr>
            <w:tcW w:w="7229" w:type="dxa"/>
          </w:tcPr>
          <w:p w:rsidR="001520CC" w:rsidRPr="00A9364F" w:rsidRDefault="001520CC" w:rsidP="0088498D">
            <w:pPr>
              <w:keepNext/>
              <w:widowControl w:val="0"/>
              <w:spacing w:after="0" w:line="240" w:lineRule="auto"/>
              <w:jc w:val="both"/>
              <w:rPr>
                <w:rFonts w:ascii="Times New Roman" w:hAnsi="Times New Roman"/>
                <w:b/>
                <w:bCs/>
                <w:snapToGrid w:val="0"/>
                <w:color w:val="000000"/>
                <w:sz w:val="24"/>
                <w:szCs w:val="24"/>
                <w:vertAlign w:val="subscript"/>
              </w:rPr>
            </w:pPr>
            <w:r w:rsidRPr="00A9364F">
              <w:rPr>
                <w:rFonts w:ascii="Times New Roman" w:hAnsi="Times New Roman"/>
                <w:snapToGrid w:val="0"/>
                <w:color w:val="000000"/>
                <w:position w:val="-28"/>
                <w:sz w:val="24"/>
                <w:szCs w:val="24"/>
              </w:rPr>
              <w:object w:dxaOrig="4900" w:dyaOrig="660">
                <v:shape id="_x0000_i1027" type="#_x0000_t75" style="width:244.3pt;height:32.15pt" o:ole="">
                  <v:imagedata r:id="rId10" o:title=""/>
                </v:shape>
                <o:OLEObject Type="Embed" ProgID="Equation.3" ShapeID="_x0000_i1027" DrawAspect="Content" ObjectID="_1733388766" r:id="rId11"/>
              </w:object>
            </w:r>
          </w:p>
          <w:p w:rsidR="001520CC" w:rsidRDefault="001520CC" w:rsidP="0088498D">
            <w:pPr>
              <w:keepNext/>
              <w:widowControl w:val="0"/>
              <w:spacing w:after="0" w:line="240" w:lineRule="auto"/>
              <w:jc w:val="both"/>
              <w:rPr>
                <w:rFonts w:ascii="Times New Roman" w:hAnsi="Times New Roman"/>
                <w:snapToGrid w:val="0"/>
                <w:color w:val="000000"/>
                <w:sz w:val="24"/>
                <w:szCs w:val="24"/>
              </w:rPr>
            </w:pPr>
            <w:r w:rsidRPr="00A9364F">
              <w:rPr>
                <w:rFonts w:ascii="Times New Roman" w:hAnsi="Times New Roman"/>
                <w:snapToGrid w:val="0"/>
                <w:color w:val="000000"/>
                <w:sz w:val="24"/>
                <w:szCs w:val="24"/>
              </w:rPr>
              <w:t>ПД</w:t>
            </w:r>
            <w:proofErr w:type="gramStart"/>
            <w:r w:rsidRPr="00A9364F">
              <w:rPr>
                <w:rFonts w:ascii="Times New Roman" w:hAnsi="Times New Roman"/>
                <w:snapToGrid w:val="0"/>
                <w:color w:val="000000"/>
                <w:sz w:val="24"/>
                <w:szCs w:val="24"/>
              </w:rPr>
              <w:t>П-</w:t>
            </w:r>
            <w:proofErr w:type="gramEnd"/>
            <w:r w:rsidRPr="00A9364F">
              <w:rPr>
                <w:rFonts w:ascii="Times New Roman" w:hAnsi="Times New Roman"/>
                <w:snapToGrid w:val="0"/>
                <w:color w:val="000000"/>
                <w:sz w:val="24"/>
                <w:szCs w:val="24"/>
              </w:rPr>
              <w:t xml:space="preserve"> общая сумма денежных поступлений за период, </w:t>
            </w:r>
          </w:p>
          <w:p w:rsidR="001520CC" w:rsidRDefault="001520CC" w:rsidP="0088498D">
            <w:pPr>
              <w:keepNext/>
              <w:widowControl w:val="0"/>
              <w:spacing w:after="0" w:line="240" w:lineRule="auto"/>
              <w:jc w:val="both"/>
              <w:rPr>
                <w:rFonts w:ascii="Times New Roman" w:hAnsi="Times New Roman"/>
                <w:snapToGrid w:val="0"/>
                <w:color w:val="000000"/>
                <w:sz w:val="24"/>
                <w:szCs w:val="24"/>
              </w:rPr>
            </w:pPr>
            <w:r w:rsidRPr="00A9364F">
              <w:rPr>
                <w:rFonts w:ascii="Times New Roman" w:hAnsi="Times New Roman"/>
                <w:snapToGrid w:val="0"/>
                <w:color w:val="000000"/>
                <w:sz w:val="24"/>
                <w:szCs w:val="24"/>
              </w:rPr>
              <w:t>ОДП - общая сумма денежных платежей за период</w:t>
            </w:r>
          </w:p>
          <w:p w:rsidR="001520CC" w:rsidRPr="00A9364F" w:rsidRDefault="001520CC" w:rsidP="0088498D">
            <w:pPr>
              <w:keepNext/>
              <w:widowControl w:val="0"/>
              <w:spacing w:after="0" w:line="240" w:lineRule="auto"/>
              <w:jc w:val="both"/>
              <w:rPr>
                <w:rFonts w:ascii="Times New Roman" w:hAnsi="Times New Roman"/>
                <w:snapToGrid w:val="0"/>
                <w:color w:val="000000"/>
                <w:sz w:val="24"/>
                <w:szCs w:val="24"/>
              </w:rPr>
            </w:pPr>
            <w:r w:rsidRPr="00C32992">
              <w:rPr>
                <w:rFonts w:ascii="Times New Roman" w:hAnsi="Times New Roman"/>
                <w:snapToGrid w:val="0"/>
                <w:color w:val="000000"/>
                <w:sz w:val="24"/>
                <w:szCs w:val="24"/>
              </w:rPr>
              <w:t xml:space="preserve">Значение показателя отражает уровень платежеспособности и синхронности формирования различных видов денежных потоков. Для обеспечения необходимой ликвидности денежного потока этот коэффициент должен иметь значение не ниже единицы (превышение единицы будет генерировать рост остатка денежных активов на конец рассматриваемого периода, т.е. способствовать </w:t>
            </w:r>
            <w:r w:rsidRPr="00C32992">
              <w:rPr>
                <w:rFonts w:ascii="Times New Roman" w:hAnsi="Times New Roman"/>
                <w:snapToGrid w:val="0"/>
                <w:color w:val="000000"/>
                <w:sz w:val="24"/>
                <w:szCs w:val="24"/>
              </w:rPr>
              <w:lastRenderedPageBreak/>
              <w:t>повышению коэффициента абсолютной платежеспособности предприятия)</w:t>
            </w:r>
            <w:r w:rsidRPr="00A9364F">
              <w:rPr>
                <w:rFonts w:ascii="Times New Roman" w:hAnsi="Times New Roman"/>
                <w:snapToGrid w:val="0"/>
                <w:color w:val="000000"/>
                <w:sz w:val="24"/>
                <w:szCs w:val="24"/>
              </w:rPr>
              <w:t xml:space="preserve">. </w:t>
            </w:r>
          </w:p>
        </w:tc>
      </w:tr>
      <w:tr w:rsidR="001520CC" w:rsidRPr="003B7F83" w:rsidTr="0088498D">
        <w:tc>
          <w:tcPr>
            <w:tcW w:w="1668" w:type="dxa"/>
          </w:tcPr>
          <w:p w:rsidR="001520CC" w:rsidRPr="003B7F83"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lastRenderedPageBreak/>
              <w:t>Коэффициент покрытия денежным потоком совокупного капитала</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proofErr w:type="spellStart"/>
            <w:r w:rsidRPr="003B7F83">
              <w:rPr>
                <w:rFonts w:ascii="Times New Roman" w:hAnsi="Times New Roman"/>
                <w:snapToGrid w:val="0"/>
                <w:sz w:val="24"/>
                <w:szCs w:val="24"/>
              </w:rPr>
              <w:t>Кдпвб</w:t>
            </w:r>
            <w:proofErr w:type="spellEnd"/>
          </w:p>
        </w:tc>
        <w:tc>
          <w:tcPr>
            <w:tcW w:w="7229" w:type="dxa"/>
          </w:tcPr>
          <w:p w:rsidR="001520CC" w:rsidRDefault="001520CC" w:rsidP="0088498D">
            <w:pPr>
              <w:keepNext/>
              <w:widowControl w:val="0"/>
              <w:spacing w:after="0" w:line="240" w:lineRule="auto"/>
              <w:jc w:val="both"/>
              <w:rPr>
                <w:rFonts w:ascii="Times New Roman" w:hAnsi="Times New Roman"/>
                <w:snapToGrid w:val="0"/>
                <w:sz w:val="24"/>
                <w:szCs w:val="24"/>
              </w:rPr>
            </w:pPr>
            <w:r w:rsidRPr="00A9364F">
              <w:rPr>
                <w:rFonts w:ascii="Times New Roman" w:hAnsi="Times New Roman"/>
                <w:snapToGrid w:val="0"/>
                <w:position w:val="-30"/>
                <w:sz w:val="24"/>
                <w:szCs w:val="24"/>
              </w:rPr>
              <w:object w:dxaOrig="3580" w:dyaOrig="680">
                <v:shape id="_x0000_i1028" type="#_x0000_t75" style="width:178.7pt;height:34.7pt" o:ole="">
                  <v:imagedata r:id="rId12" o:title=""/>
                </v:shape>
                <o:OLEObject Type="Embed" ProgID="Equation.3" ShapeID="_x0000_i1028" DrawAspect="Content" ObjectID="_1733388767" r:id="rId13"/>
              </w:object>
            </w:r>
            <w:r w:rsidRPr="003B7F83">
              <w:rPr>
                <w:rFonts w:ascii="Times New Roman" w:hAnsi="Times New Roman"/>
                <w:snapToGrid w:val="0"/>
                <w:sz w:val="24"/>
                <w:szCs w:val="24"/>
              </w:rPr>
              <w:t xml:space="preserve">, </w:t>
            </w:r>
          </w:p>
          <w:p w:rsidR="001520CC"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где ВБ – валюта баланса, сумма совокупного капитала авансированного в деятельность предприятия</w: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Характеризует сумму чистого денежного потока от текущей деятельности, полученного на 1 р. выручки от реализации товаров.</w:t>
            </w:r>
          </w:p>
        </w:tc>
      </w:tr>
      <w:tr w:rsidR="001520CC" w:rsidRPr="003B7F83" w:rsidTr="0088498D">
        <w:tc>
          <w:tcPr>
            <w:tcW w:w="1668" w:type="dxa"/>
          </w:tcPr>
          <w:p w:rsidR="001520CC" w:rsidRPr="003B7F83"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Коэффициент покрытия денежным потоком собственного капитала</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proofErr w:type="spellStart"/>
            <w:r w:rsidRPr="003B7F83">
              <w:rPr>
                <w:rFonts w:ascii="Times New Roman" w:hAnsi="Times New Roman"/>
                <w:snapToGrid w:val="0"/>
                <w:sz w:val="24"/>
                <w:szCs w:val="24"/>
              </w:rPr>
              <w:t>Кдпск</w:t>
            </w:r>
            <w:proofErr w:type="spellEnd"/>
          </w:p>
        </w:tc>
        <w:tc>
          <w:tcPr>
            <w:tcW w:w="7229" w:type="dxa"/>
          </w:tcPr>
          <w:p w:rsidR="001520CC" w:rsidRDefault="001520CC" w:rsidP="0088498D">
            <w:pPr>
              <w:keepNext/>
              <w:widowControl w:val="0"/>
              <w:spacing w:after="0" w:line="240" w:lineRule="auto"/>
              <w:jc w:val="both"/>
              <w:rPr>
                <w:rFonts w:ascii="Times New Roman" w:hAnsi="Times New Roman"/>
                <w:snapToGrid w:val="0"/>
                <w:sz w:val="24"/>
                <w:szCs w:val="24"/>
              </w:rPr>
            </w:pPr>
            <w:r w:rsidRPr="00A9364F">
              <w:rPr>
                <w:rFonts w:ascii="Times New Roman" w:hAnsi="Times New Roman"/>
                <w:snapToGrid w:val="0"/>
                <w:position w:val="-30"/>
                <w:sz w:val="24"/>
                <w:szCs w:val="24"/>
              </w:rPr>
              <w:object w:dxaOrig="3560" w:dyaOrig="680">
                <v:shape id="_x0000_i1029" type="#_x0000_t75" style="width:176.15pt;height:34.7pt" o:ole="">
                  <v:imagedata r:id="rId14" o:title=""/>
                </v:shape>
                <o:OLEObject Type="Embed" ProgID="Equation.3" ShapeID="_x0000_i1029" DrawAspect="Content" ObjectID="_1733388768" r:id="rId15"/>
              </w:object>
            </w:r>
          </w:p>
          <w:p w:rsidR="001520CC" w:rsidRDefault="001520CC" w:rsidP="0088498D">
            <w:pPr>
              <w:keepNext/>
              <w:widowControl w:val="0"/>
              <w:spacing w:after="0" w:line="240" w:lineRule="auto"/>
              <w:jc w:val="both"/>
              <w:rPr>
                <w:rFonts w:ascii="Times New Roman" w:hAnsi="Times New Roman"/>
                <w:snapToGrid w:val="0"/>
                <w:sz w:val="24"/>
                <w:szCs w:val="24"/>
              </w:rPr>
            </w:pPr>
            <w:r>
              <w:rPr>
                <w:rFonts w:ascii="Times New Roman" w:hAnsi="Times New Roman"/>
                <w:snapToGrid w:val="0"/>
                <w:sz w:val="24"/>
                <w:szCs w:val="24"/>
              </w:rPr>
              <w:t>где СК</w:t>
            </w:r>
            <w:r w:rsidRPr="003B7F83">
              <w:rPr>
                <w:rFonts w:ascii="Times New Roman" w:hAnsi="Times New Roman"/>
                <w:snapToGrid w:val="0"/>
                <w:sz w:val="24"/>
                <w:szCs w:val="24"/>
              </w:rPr>
              <w:t xml:space="preserve"> – сумма собственного капитала, включая реинвестированную прибыль, авансированные в деятельность предприятия</w: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Характеризует эффективность использования собственных источников финансирования, в том числе участвующих в формировании оборотных активов.</w:t>
            </w:r>
          </w:p>
        </w:tc>
      </w:tr>
      <w:tr w:rsidR="001520CC" w:rsidRPr="003B7F83" w:rsidTr="0088498D">
        <w:tc>
          <w:tcPr>
            <w:tcW w:w="1668" w:type="dxa"/>
          </w:tcPr>
          <w:p w:rsidR="001520CC" w:rsidRPr="003B7F83" w:rsidRDefault="001520CC" w:rsidP="0088498D">
            <w:pPr>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Коэффициент покрытия денежным потоком инвестиций</w:t>
            </w:r>
          </w:p>
        </w:tc>
        <w:tc>
          <w:tcPr>
            <w:tcW w:w="850" w:type="dxa"/>
          </w:tcPr>
          <w:p w:rsidR="001520CC" w:rsidRPr="003B7F83" w:rsidRDefault="001520CC" w:rsidP="0088498D">
            <w:pPr>
              <w:keepNext/>
              <w:widowControl w:val="0"/>
              <w:spacing w:after="0" w:line="240" w:lineRule="auto"/>
              <w:jc w:val="both"/>
              <w:rPr>
                <w:rFonts w:ascii="Times New Roman" w:hAnsi="Times New Roman"/>
                <w:snapToGrid w:val="0"/>
                <w:sz w:val="24"/>
                <w:szCs w:val="24"/>
              </w:rPr>
            </w:pPr>
            <w:proofErr w:type="spellStart"/>
            <w:r w:rsidRPr="003B7F83">
              <w:rPr>
                <w:rFonts w:ascii="Times New Roman" w:hAnsi="Times New Roman"/>
                <w:snapToGrid w:val="0"/>
                <w:sz w:val="24"/>
                <w:szCs w:val="24"/>
              </w:rPr>
              <w:t>Кдпи</w:t>
            </w:r>
            <w:proofErr w:type="spellEnd"/>
          </w:p>
        </w:tc>
        <w:tc>
          <w:tcPr>
            <w:tcW w:w="7229" w:type="dxa"/>
          </w:tcPr>
          <w:p w:rsidR="001520CC" w:rsidRDefault="001520CC" w:rsidP="0088498D">
            <w:pPr>
              <w:keepNext/>
              <w:widowControl w:val="0"/>
              <w:spacing w:after="0" w:line="240" w:lineRule="auto"/>
              <w:jc w:val="both"/>
              <w:rPr>
                <w:rFonts w:ascii="Times New Roman" w:hAnsi="Times New Roman"/>
                <w:snapToGrid w:val="0"/>
                <w:sz w:val="24"/>
                <w:szCs w:val="24"/>
              </w:rPr>
            </w:pPr>
            <w:r w:rsidRPr="00A9364F">
              <w:rPr>
                <w:rFonts w:ascii="Times New Roman" w:hAnsi="Times New Roman"/>
                <w:snapToGrid w:val="0"/>
                <w:position w:val="-30"/>
                <w:sz w:val="24"/>
                <w:szCs w:val="24"/>
              </w:rPr>
              <w:object w:dxaOrig="3460" w:dyaOrig="680">
                <v:shape id="_x0000_i1030" type="#_x0000_t75" style="width:173.55pt;height:34.7pt" o:ole="">
                  <v:imagedata r:id="rId16" o:title=""/>
                </v:shape>
                <o:OLEObject Type="Embed" ProgID="Equation.3" ShapeID="_x0000_i1030" DrawAspect="Content" ObjectID="_1733388769" r:id="rId17"/>
              </w:object>
            </w:r>
            <w:r w:rsidRPr="003B7F83">
              <w:rPr>
                <w:rFonts w:ascii="Times New Roman" w:hAnsi="Times New Roman"/>
                <w:snapToGrid w:val="0"/>
                <w:sz w:val="24"/>
                <w:szCs w:val="24"/>
              </w:rPr>
              <w:t xml:space="preserve"> </w:t>
            </w:r>
          </w:p>
          <w:p w:rsidR="001520CC" w:rsidRDefault="001520CC" w:rsidP="0088498D">
            <w:pPr>
              <w:keepNext/>
              <w:widowControl w:val="0"/>
              <w:spacing w:after="0" w:line="240" w:lineRule="auto"/>
              <w:jc w:val="both"/>
              <w:rPr>
                <w:rFonts w:ascii="Times New Roman" w:hAnsi="Times New Roman"/>
                <w:snapToGrid w:val="0"/>
                <w:sz w:val="24"/>
                <w:szCs w:val="24"/>
              </w:rPr>
            </w:pPr>
            <w:r w:rsidRPr="003B7F83">
              <w:rPr>
                <w:rFonts w:ascii="Times New Roman" w:hAnsi="Times New Roman"/>
                <w:snapToGrid w:val="0"/>
                <w:sz w:val="24"/>
                <w:szCs w:val="24"/>
              </w:rPr>
              <w:t>где ДП – сумма инвестиций в деятельность предприятия, определяемая размером долгосрочных заемных средств</w:t>
            </w:r>
          </w:p>
          <w:p w:rsidR="001520CC" w:rsidRPr="003B7F83" w:rsidRDefault="001520CC" w:rsidP="0088498D">
            <w:pPr>
              <w:keepNext/>
              <w:widowControl w:val="0"/>
              <w:spacing w:after="0" w:line="240" w:lineRule="auto"/>
              <w:jc w:val="both"/>
              <w:rPr>
                <w:rFonts w:ascii="Times New Roman" w:hAnsi="Times New Roman"/>
                <w:snapToGrid w:val="0"/>
                <w:sz w:val="24"/>
                <w:szCs w:val="24"/>
              </w:rPr>
            </w:pPr>
            <w:r w:rsidRPr="009B5BFE">
              <w:rPr>
                <w:rFonts w:ascii="Times New Roman" w:hAnsi="Times New Roman"/>
                <w:snapToGrid w:val="0"/>
                <w:sz w:val="24"/>
                <w:szCs w:val="24"/>
              </w:rPr>
              <w:t>Характеризует эффективность использования инвестированных средств, определяемых размером долгосрочных заемных средств</w:t>
            </w:r>
          </w:p>
        </w:tc>
      </w:tr>
      <w:bookmarkEnd w:id="0"/>
    </w:tbl>
    <w:p w:rsidR="001520CC" w:rsidRPr="003B7F83" w:rsidRDefault="001520CC" w:rsidP="001520CC">
      <w:pPr>
        <w:shd w:val="clear" w:color="auto" w:fill="FFFFFF"/>
        <w:spacing w:after="0" w:line="360" w:lineRule="auto"/>
        <w:ind w:firstLine="709"/>
        <w:jc w:val="both"/>
        <w:rPr>
          <w:rFonts w:ascii="Times New Roman" w:hAnsi="Times New Roman"/>
          <w:snapToGrid w:val="0"/>
          <w:sz w:val="28"/>
          <w:szCs w:val="28"/>
        </w:rPr>
      </w:pPr>
    </w:p>
    <w:p w:rsidR="001520CC" w:rsidRPr="003B7F83" w:rsidRDefault="001520CC" w:rsidP="001520CC">
      <w:pPr>
        <w:spacing w:after="0" w:line="360" w:lineRule="auto"/>
        <w:ind w:firstLine="709"/>
        <w:jc w:val="both"/>
        <w:rPr>
          <w:rFonts w:ascii="Times New Roman" w:hAnsi="Times New Roman"/>
          <w:snapToGrid w:val="0"/>
          <w:sz w:val="28"/>
          <w:szCs w:val="28"/>
        </w:rPr>
      </w:pPr>
      <w:r w:rsidRPr="003B7F83">
        <w:rPr>
          <w:rFonts w:ascii="Times New Roman" w:hAnsi="Times New Roman"/>
          <w:snapToGrid w:val="0"/>
          <w:sz w:val="28"/>
          <w:szCs w:val="28"/>
        </w:rPr>
        <w:t xml:space="preserve">Эти показатели дают представление о возможности организации выполнять обязательства перед кредиторами, заемщиками и акционерами наличными денежными средствами. </w:t>
      </w:r>
    </w:p>
    <w:p w:rsidR="002638AD" w:rsidRDefault="002638AD"/>
    <w:sectPr w:rsidR="002638AD" w:rsidSect="002638A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47A" w:rsidRDefault="0005147A" w:rsidP="001520CC">
      <w:pPr>
        <w:spacing w:after="0" w:line="240" w:lineRule="auto"/>
      </w:pPr>
      <w:r>
        <w:separator/>
      </w:r>
    </w:p>
  </w:endnote>
  <w:endnote w:type="continuationSeparator" w:id="0">
    <w:p w:rsidR="0005147A" w:rsidRDefault="0005147A" w:rsidP="001520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47A" w:rsidRDefault="0005147A" w:rsidP="001520CC">
      <w:pPr>
        <w:spacing w:after="0" w:line="240" w:lineRule="auto"/>
      </w:pPr>
      <w:r>
        <w:separator/>
      </w:r>
    </w:p>
  </w:footnote>
  <w:footnote w:type="continuationSeparator" w:id="0">
    <w:p w:rsidR="0005147A" w:rsidRDefault="0005147A" w:rsidP="001520CC">
      <w:pPr>
        <w:spacing w:after="0" w:line="240" w:lineRule="auto"/>
      </w:pPr>
      <w:r>
        <w:continuationSeparator/>
      </w:r>
    </w:p>
  </w:footnote>
  <w:footnote w:id="1">
    <w:p w:rsidR="001520CC" w:rsidRPr="00A9364F" w:rsidRDefault="001520CC" w:rsidP="001520CC">
      <w:pPr>
        <w:pStyle w:val="a3"/>
        <w:rPr>
          <w:rFonts w:ascii="Times New Roman" w:hAnsi="Times New Roman"/>
          <w:b/>
          <w:u w:val="single"/>
        </w:rPr>
      </w:pPr>
      <w:r>
        <w:rPr>
          <w:rStyle w:val="a5"/>
        </w:rPr>
        <w:footnoteRef/>
      </w:r>
      <w:r>
        <w:t xml:space="preserve"> </w:t>
      </w:r>
      <w:r w:rsidRPr="00A9364F">
        <w:rPr>
          <w:rFonts w:ascii="Times New Roman" w:hAnsi="Times New Roman"/>
          <w:b/>
          <w:u w:val="single"/>
        </w:rPr>
        <w:t>Исходные данные для расчета – Отчет  о движении денежных средств.</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08"/>
  <w:characterSpacingControl w:val="doNotCompress"/>
  <w:footnotePr>
    <w:footnote w:id="-1"/>
    <w:footnote w:id="0"/>
  </w:footnotePr>
  <w:endnotePr>
    <w:endnote w:id="-1"/>
    <w:endnote w:id="0"/>
  </w:endnotePr>
  <w:compat/>
  <w:rsids>
    <w:rsidRoot w:val="001520CC"/>
    <w:rsid w:val="0005147A"/>
    <w:rsid w:val="001520CC"/>
    <w:rsid w:val="00263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0CC"/>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520CC"/>
    <w:rPr>
      <w:sz w:val="20"/>
      <w:szCs w:val="20"/>
    </w:rPr>
  </w:style>
  <w:style w:type="character" w:customStyle="1" w:styleId="a4">
    <w:name w:val="Текст сноски Знак"/>
    <w:basedOn w:val="a0"/>
    <w:link w:val="a3"/>
    <w:uiPriority w:val="99"/>
    <w:semiHidden/>
    <w:rsid w:val="001520CC"/>
    <w:rPr>
      <w:rFonts w:ascii="Calibri" w:eastAsia="Calibri" w:hAnsi="Calibri" w:cs="Times New Roman"/>
      <w:sz w:val="20"/>
      <w:szCs w:val="20"/>
    </w:rPr>
  </w:style>
  <w:style w:type="character" w:styleId="a5">
    <w:name w:val="footnote reference"/>
    <w:uiPriority w:val="99"/>
    <w:semiHidden/>
    <w:unhideWhenUsed/>
    <w:rsid w:val="001520C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IvanovaAV</dc:creator>
  <cp:lastModifiedBy>IvanovaAV</cp:lastModifiedBy>
  <cp:revision>1</cp:revision>
  <dcterms:created xsi:type="dcterms:W3CDTF">2022-12-24T09:05:00Z</dcterms:created>
  <dcterms:modified xsi:type="dcterms:W3CDTF">2022-12-24T09:05:00Z</dcterms:modified>
</cp:coreProperties>
</file>