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Задача 1.</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Рассчитайте потребность проекта в финансировании, если имеется следующая информация по денежным потокам от следующих видов деятельности компании по проекту.</w:t>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5"/>
        <w:gridCol w:w="1832"/>
        <w:gridCol w:w="1832"/>
        <w:gridCol w:w="1833"/>
        <w:gridCol w:w="1833"/>
        <w:tblGridChange w:id="0">
          <w:tblGrid>
            <w:gridCol w:w="2015"/>
            <w:gridCol w:w="1832"/>
            <w:gridCol w:w="1832"/>
            <w:gridCol w:w="1833"/>
            <w:gridCol w:w="1833"/>
          </w:tblGrid>
        </w:tblGridChange>
      </w:tblGrid>
      <w:tr>
        <w:trPr>
          <w:cantSplit w:val="0"/>
          <w:tblHeader w:val="0"/>
        </w:trPr>
        <w:tc>
          <w:tcPr>
            <w:shd w:fill="auto" w:val="clear"/>
          </w:tcPr>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потоки</w:t>
            </w:r>
          </w:p>
        </w:tc>
        <w:tc>
          <w:tcPr>
            <w:shd w:fill="auto" w:val="clear"/>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1-й год</w:t>
            </w:r>
          </w:p>
        </w:tc>
        <w:tc>
          <w:tcPr>
            <w:shd w:fill="auto" w:val="clea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2-й год</w:t>
            </w:r>
          </w:p>
        </w:tc>
        <w:tc>
          <w:tcPr>
            <w:shd w:fill="auto" w:val="clea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3-й год</w:t>
            </w:r>
          </w:p>
        </w:tc>
        <w:tc>
          <w:tcPr>
            <w:shd w:fill="auto" w:val="clea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4-й год</w:t>
            </w:r>
          </w:p>
        </w:tc>
      </w:tr>
      <w:tr>
        <w:trPr>
          <w:cantSplit w:val="0"/>
          <w:tblHeader w:val="0"/>
        </w:trPr>
        <w:tc>
          <w:tcPr>
            <w:shd w:fill="auto" w:val="clear"/>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Операционная деятельность</w:t>
            </w:r>
          </w:p>
        </w:tc>
        <w:tc>
          <w:tcPr>
            <w:shd w:fill="auto" w:val="clear"/>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shd w:fill="auto" w:val="clear"/>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shd w:fill="auto" w:val="clear"/>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c>
          <w:tcPr>
            <w:shd w:fill="auto" w:val="clear"/>
          </w:tcPr>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w:t>
            </w:r>
          </w:p>
        </w:tc>
      </w:tr>
      <w:tr>
        <w:trPr>
          <w:cantSplit w:val="0"/>
          <w:tblHeader w:val="0"/>
        </w:trPr>
        <w:tc>
          <w:tcPr>
            <w:shd w:fill="auto" w:val="clea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Инвестиционная деятельность</w:t>
            </w:r>
          </w:p>
        </w:tc>
        <w:tc>
          <w:tcPr>
            <w:shd w:fill="auto" w:val="clear"/>
          </w:tcPr>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 </w:t>
            </w:r>
          </w:p>
        </w:tc>
        <w:tc>
          <w:tcPr>
            <w:shd w:fill="auto" w:val="clear"/>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shd w:fill="auto" w:val="clea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Финансовая деятельность</w:t>
            </w:r>
          </w:p>
        </w:tc>
        <w:tc>
          <w:tcPr>
            <w:shd w:fill="auto" w:val="clear"/>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650</w:t>
            </w:r>
          </w:p>
        </w:tc>
        <w:tc>
          <w:tcPr>
            <w:shd w:fill="auto" w:val="clea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shd w:fill="auto" w:val="clear"/>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w:t>
            </w:r>
          </w:p>
        </w:tc>
        <w:tc>
          <w:tcPr>
            <w:shd w:fill="auto" w:val="clear"/>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w:t>
            </w:r>
          </w:p>
        </w:tc>
      </w:tr>
    </w:tbl>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Задача 2. </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Выбор наиболее подходящего поставщика. Выполните необходимые расчеты и сделайте обоснованные выводы.</w:t>
      </w:r>
    </w:p>
    <w:tbl>
      <w:tblPr>
        <w:tblStyle w:val="Table2"/>
        <w:tblW w:w="934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7"/>
        <w:gridCol w:w="1637"/>
        <w:gridCol w:w="1101"/>
        <w:gridCol w:w="1101"/>
        <w:gridCol w:w="1101"/>
        <w:gridCol w:w="1116"/>
        <w:gridCol w:w="1105"/>
        <w:gridCol w:w="1097"/>
        <w:tblGridChange w:id="0">
          <w:tblGrid>
            <w:gridCol w:w="1087"/>
            <w:gridCol w:w="1637"/>
            <w:gridCol w:w="1101"/>
            <w:gridCol w:w="1101"/>
            <w:gridCol w:w="1101"/>
            <w:gridCol w:w="1116"/>
            <w:gridCol w:w="1105"/>
            <w:gridCol w:w="1097"/>
          </w:tblGrid>
        </w:tblGridChange>
      </w:tblGrid>
      <w:tr>
        <w:trPr>
          <w:cantSplit w:val="0"/>
          <w:tblHeader w:val="0"/>
        </w:trPr>
        <w:tc>
          <w:tcPr>
            <w:shd w:fill="auto" w:val="clear"/>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Коэффициент значимости</w:t>
            </w:r>
          </w:p>
        </w:tc>
        <w:tc>
          <w:tcPr>
            <w:gridSpan w:val="3"/>
            <w:shd w:fill="auto" w:val="clea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Значение параметра оценки</w:t>
            </w:r>
          </w:p>
        </w:tc>
        <w:tc>
          <w:tcPr>
            <w:gridSpan w:val="3"/>
            <w:shd w:fill="auto" w:val="clear"/>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Взвешенная оценка</w:t>
            </w:r>
          </w:p>
        </w:tc>
      </w:tr>
      <w:tr>
        <w:trPr>
          <w:cantSplit w:val="0"/>
          <w:tblHeader w:val="0"/>
        </w:trPr>
        <w:tc>
          <w:tcPr>
            <w:shd w:fill="auto" w:val="cle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c>
          <w:tcPr>
            <w:shd w:fill="auto" w:val="cle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c>
          <w:tcPr>
            <w:shd w:fill="auto" w:val="cle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w:t>
            </w:r>
          </w:p>
        </w:tc>
        <w:tc>
          <w:tcPr>
            <w:shd w:fill="auto" w:val="clea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c>
          <w:tcPr>
            <w:shd w:fill="auto" w:val="cle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c>
          <w:tcPr>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0, 12</w:t>
            </w:r>
          </w:p>
        </w:tc>
        <w:tc>
          <w:tcPr>
            <w:shd w:fill="auto" w:val="cle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w:t>
            </w:r>
          </w:p>
        </w:tc>
        <w:tc>
          <w:tcPr>
            <w:shd w:fill="auto" w:val="cle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Задача 3. </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Дано:</w:t>
      </w:r>
    </w:p>
    <w:tbl>
      <w:tblPr>
        <w:tblStyle w:val="Table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4"/>
        <w:gridCol w:w="1867"/>
        <w:gridCol w:w="1864"/>
        <w:gridCol w:w="1885"/>
        <w:gridCol w:w="1865"/>
        <w:tblGridChange w:id="0">
          <w:tblGrid>
            <w:gridCol w:w="1864"/>
            <w:gridCol w:w="1867"/>
            <w:gridCol w:w="1864"/>
            <w:gridCol w:w="1885"/>
            <w:gridCol w:w="1865"/>
          </w:tblGrid>
        </w:tblGridChange>
      </w:tblGrid>
      <w:tr>
        <w:trPr>
          <w:cantSplit w:val="0"/>
          <w:tblHeader w:val="0"/>
        </w:trPr>
        <w:tc>
          <w:tcPr>
            <w:shd w:fill="auto" w:val="cle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доставки, дней</w:t>
            </w:r>
          </w:p>
        </w:tc>
        <w:tc>
          <w:tcPr>
            <w:shd w:fill="auto" w:val="cle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задержки, дней</w:t>
            </w:r>
          </w:p>
        </w:tc>
        <w:tc>
          <w:tcPr>
            <w:shd w:fill="auto" w:val="cle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Затраты на доставку единицы, руб</w:t>
            </w:r>
          </w:p>
        </w:tc>
        <w:tc>
          <w:tcPr>
            <w:shd w:fill="auto" w:val="clea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Месячная потребность , единиц</w:t>
            </w:r>
          </w:p>
        </w:tc>
        <w:tc>
          <w:tcPr>
            <w:shd w:fill="auto" w:val="cle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Затраты на хранение  единицы, руб</w:t>
            </w:r>
          </w:p>
        </w:tc>
      </w:tr>
      <w:tr>
        <w:trPr>
          <w:cantSplit w:val="0"/>
          <w:tblHeader w:val="0"/>
        </w:trPr>
        <w:tc>
          <w:tcPr>
            <w:shd w:fill="auto" w:val="cle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w:t>
            </w:r>
          </w:p>
        </w:tc>
        <w:tc>
          <w:tcPr>
            <w:shd w:fill="auto" w:val="cle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tc>
        <w:tc>
          <w:tcPr>
            <w:shd w:fill="auto" w:val="cle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bl>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рабочих дней в заданном периоде = 22. Система управления запасами с фиксированным размером заказа</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Задача 4. </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Определите экономическую целесообразность закупки комплектующих у оптового поставщика на основании следующих данных:</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необходимых к выпуску изделий – 5000 шт.;</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комплектующих, необходимых для производства единицы изделия – 15 шт.;</w:t>
        <w:br w:type="textWrapping"/>
        <w:t xml:space="preserve">Стоимость производства одного комплектующего (с учётом расходов на организацию собственного производства) – 25 руб.;</w:t>
        <w:br w:type="textWrapping"/>
        <w:t xml:space="preserve">Сумма собственных средств предприятия – 500 000 руб.;</w:t>
        <w:br w:type="textWrapping"/>
        <w:t xml:space="preserve">Стоимость единицы комплектующего у поставщика – 100 руб.;</w:t>
        <w:br w:type="textWrapping"/>
        <w:t xml:space="preserve">Расходы на доставку комплектующих от посредника в расчёте на 1 км – 5 руб./шт.;</w:t>
        <w:br w:type="textWrapping"/>
        <w:t xml:space="preserve">Расстояние до посредника – 20 км.</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Задача 5. </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Определить оптимальные параметры поставок материалов (сырья) одного вида (оптимальный размер одной поставки, средний текущий запас, точку заказа, интервал между поставками, число поставок, минимальные годовые затраты) при соблюдении сроков поставки по исходным данным. Сделать выводы.</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Исходные данные:</w:t>
      </w:r>
    </w:p>
    <w:p w:rsidR="00000000" w:rsidDel="00000000" w:rsidP="00000000" w:rsidRDefault="00000000" w:rsidRPr="00000000" w14:paraId="0000007A">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Годовая потребность в материалах = 1700 шт.</w:t>
      </w:r>
    </w:p>
    <w:p w:rsidR="00000000" w:rsidDel="00000000" w:rsidP="00000000" w:rsidRDefault="00000000" w:rsidRPr="00000000" w14:paraId="0000007B">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хранения единицы материала в месяц = 350 ден. ед.</w:t>
      </w:r>
    </w:p>
    <w:p w:rsidR="00000000" w:rsidDel="00000000" w:rsidP="00000000" w:rsidRDefault="00000000" w:rsidRPr="00000000" w14:paraId="0000007C">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заказа и доставки одной партии, в т.ч. НДС = 420 ден. ед.</w:t>
      </w:r>
    </w:p>
    <w:p w:rsidR="00000000" w:rsidDel="00000000" w:rsidP="00000000" w:rsidRDefault="00000000" w:rsidRPr="00000000" w14:paraId="0000007D">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доставки материала от поставщика = 25 дней.</w:t>
      </w:r>
    </w:p>
    <w:p w:rsidR="00000000" w:rsidDel="00000000" w:rsidP="00000000" w:rsidRDefault="00000000" w:rsidRPr="00000000" w14:paraId="0000007E">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Задача 6.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Определить целесообразность выбора прямого или опосредованного канала распределения при следующих условиях. Объемы сбыта, которые необходимо обеспечить, – 1000000 руб. На месяц. Количество потребителей – 600. Количество контактов с каждым потребителем – один телефонный звонок в неделю. Количество контактных звонков в день, которое может обеспечить один работник отдела сбыта предприятия, – 10. Средняя заработная плата работника сбыта – 65000 руб. в месяц. Складские и офисные расходы отдела сбыта – 150000 руб. в месяц. Начисления на заработную плату работников сбыта – 30,2%. Надбавка торгового посредника за весь объем выполненных работ – 10%.</w:t>
      </w:r>
    </w:p>
    <w:p w:rsidR="00000000" w:rsidDel="00000000" w:rsidP="00000000" w:rsidRDefault="00000000" w:rsidRPr="00000000" w14:paraId="0000008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Задача 7.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Машиностроительное предприятие выпускает продукцию бытового назначения. Сборка производится из покупных комплектующих изделий и полуфабрикатов собственного производства в сборочном цехе. По одному из полуфабрикатов (Х-110) поставлен вопрос об аутсорсинге, так как поступило предложение от нового поставщика закупать комплектующее изделие Х-110 с необходимыми качественными параметрами по цене 16 000 руб. В соответствии с бюджетом производства требуется 10 000 ед. Х-110. Полная себестоимость одного полуфабриката Х-110 составляет 18 000 руб. Она включает следующие статьи: основные материалы (1000 руб.), заработная плата производственных рабочих и взносы в фонды социального страхования (8000 руб.); переменные общепроизводственные расходы (4000 руб.), постоянные общепроизводственные расходы (5000 руб.). Значение статьи калькуляции "постоянные расходы" получено делением общей суммы постоянных расходов 50 000 000 руб. на количество полуфабрикатов (10 000 ед.). В условии есть допущение – выделены постоянные расходы, связанные с производством Х-110.</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Определить релевантные и нерелевантные расходы. Провести сравнение релевантных затрат при заданном объеме производства для оценки выгодности аутсорсинга.</w:t>
      </w:r>
    </w:p>
    <w:p w:rsidR="00000000" w:rsidDel="00000000" w:rsidP="00000000" w:rsidRDefault="00000000" w:rsidRPr="00000000" w14:paraId="00000084">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