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3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«НОВОСИБИРСКИЙ ГОСУДАРСТВЕННЫЙ ТЕХНИЧЕСКИЙ УНИВЕРСИТЕТ»</w:t>
      </w: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22DA28" wp14:editId="6318281D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58273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67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" o:allowincell="f"/>
            </w:pict>
          </mc:Fallback>
        </mc:AlternateContent>
      </w:r>
    </w:p>
    <w:p w:rsidR="008B2A32" w:rsidRP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производственного менеджмента и экономики энергетики</w:t>
      </w:r>
    </w:p>
    <w:p w:rsid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Default="008B2A32" w:rsidP="008B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32" w:rsidRDefault="008B2A32" w:rsidP="008B2A32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166C" w:rsidRDefault="001D166C" w:rsidP="008B2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66C" w:rsidRDefault="001D166C" w:rsidP="008B2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2A32" w:rsidRPr="008B2A32" w:rsidRDefault="008B2A32" w:rsidP="008B2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A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Курсовая работа </w:t>
      </w:r>
    </w:p>
    <w:p w:rsidR="008B2A32" w:rsidRPr="008B2A32" w:rsidRDefault="008B2A32" w:rsidP="008B2A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A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«Финансовый менеджмент»</w:t>
      </w:r>
    </w:p>
    <w:p w:rsidR="008B2A32" w:rsidRDefault="008B2A32" w:rsidP="008B2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 «</w:t>
      </w:r>
      <w:r w:rsidRPr="008B2A3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имуществом предприятия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32" w:rsidRPr="001D166C" w:rsidRDefault="008B2A32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BE792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ФБ</w:t>
      </w:r>
    </w:p>
    <w:p w:rsidR="008B2A32" w:rsidRPr="001D166C" w:rsidRDefault="008B2A32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Pr="00BE792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ЭК</w:t>
      </w:r>
      <m:oMath>
        <m:r>
          <w:rPr>
            <w:rFonts w:ascii="Cambria Math" w:eastAsia="Times New Roman" w:hAnsi="Cambria Math" w:cs="Times New Roman"/>
            <w:sz w:val="28"/>
            <w:szCs w:val="28"/>
            <w:highlight w:val="green"/>
            <w:lang w:eastAsia="ru-RU"/>
          </w:rPr>
          <m:t>-</m:t>
        </m:r>
      </m:oMath>
      <w:r w:rsidRPr="00BE792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71</w:t>
      </w:r>
    </w:p>
    <w:p w:rsidR="008B2A32" w:rsidRPr="001D166C" w:rsidRDefault="008B2A32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1D166C"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Вечканов Руслан</w:t>
      </w:r>
    </w:p>
    <w:p w:rsidR="001D166C" w:rsidRP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</w:p>
    <w:p w:rsidR="001D166C" w:rsidRP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29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Троянова Е.Н.</w:t>
      </w:r>
    </w:p>
    <w:p w:rsidR="001D166C" w:rsidRP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сдачи:</w:t>
      </w:r>
    </w:p>
    <w:p w:rsid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</w:t>
      </w:r>
    </w:p>
    <w:p w:rsid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C" w:rsidRDefault="001D166C" w:rsidP="008B2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C" w:rsidRDefault="001D166C" w:rsidP="001D1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C" w:rsidRDefault="001D166C" w:rsidP="001D1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6C" w:rsidRDefault="001D166C" w:rsidP="001D1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</w:p>
    <w:p w:rsidR="001D166C" w:rsidRPr="008B2A32" w:rsidRDefault="001D166C" w:rsidP="001D1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92867164"/>
        <w:docPartObj>
          <w:docPartGallery w:val="Table of Contents"/>
          <w:docPartUnique/>
        </w:docPartObj>
      </w:sdtPr>
      <w:sdtEndPr/>
      <w:sdtContent>
        <w:p w:rsidR="00C739A1" w:rsidRPr="00BE7929" w:rsidRDefault="00BE7929" w:rsidP="00BE7929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E792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E7929" w:rsidRPr="00BE7929" w:rsidRDefault="00C739A1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84930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Теоретические аспекты управления имуществом предприятия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_Toc71684930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1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1.1 Понятие и сущность имущества, его классификации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_Toc71684931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2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Методы управления имуществом предприятия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_Toc71684932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3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Показатели эффективности управления имуществом организации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_Toc71684933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4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Особенности оценки управления имуществом на примере предприятия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_Toc71684934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5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Организационно-экономическая характеристика предприятия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_Toc71684935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36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Анализ управления имуществом предприятия.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_Toc71684936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40" w:history="1">
            <w:r w:rsidR="00BE7929" w:rsidRPr="00BE7929">
              <w:rPr>
                <w:rStyle w:val="af0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2.3 Совершенствование процессов управления имуществом предприятия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_Toc71684940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41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_Toc71684941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32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E7929" w:rsidRPr="00BE7929" w:rsidRDefault="005570D9" w:rsidP="00BE7929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71684942" w:history="1">
            <w:r w:rsidR="00BE7929" w:rsidRPr="00BE7929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ИСПОЛЬЗУЕМЫХ ИСТОЧНИКОВ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_Toc71684942 \h </w:instrTex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D4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BE7929" w:rsidRPr="00BE792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739A1" w:rsidRDefault="00C739A1">
          <w:r>
            <w:rPr>
              <w:b/>
              <w:bCs/>
            </w:rPr>
            <w:fldChar w:fldCharType="end"/>
          </w:r>
        </w:p>
      </w:sdtContent>
    </w:sdt>
    <w:p w:rsidR="001D166C" w:rsidRDefault="001D16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9A1" w:rsidRDefault="00C739A1" w:rsidP="00BE79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57E9" w:rsidRPr="009C57E9" w:rsidRDefault="009C57E9" w:rsidP="009C57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7E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F49D6" w:rsidRPr="00FF49D6" w:rsidRDefault="00FF49D6" w:rsidP="00FF4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D6">
        <w:rPr>
          <w:rFonts w:ascii="Times New Roman" w:hAnsi="Times New Roman" w:cs="Times New Roman"/>
          <w:sz w:val="28"/>
          <w:szCs w:val="28"/>
        </w:rPr>
        <w:t>В настоящее время, в условиях рыночной экономики центральное место в экономической деятельности занимают предприятия.</w:t>
      </w:r>
    </w:p>
    <w:p w:rsidR="00FF49D6" w:rsidRPr="00FF49D6" w:rsidRDefault="00FF49D6" w:rsidP="00FF4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D6">
        <w:rPr>
          <w:rFonts w:ascii="Times New Roman" w:hAnsi="Times New Roman" w:cs="Times New Roman"/>
          <w:sz w:val="28"/>
          <w:szCs w:val="28"/>
        </w:rPr>
        <w:t xml:space="preserve">Условия ведения бизнеса в Российской Федерации, сложившиеся на рубеже 2020-х годов, характеризуются высокой степенью неопределённости. </w:t>
      </w:r>
    </w:p>
    <w:p w:rsidR="00FF49D6" w:rsidRDefault="00FF49D6" w:rsidP="00FF4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D6">
        <w:rPr>
          <w:rFonts w:ascii="Times New Roman" w:hAnsi="Times New Roman" w:cs="Times New Roman"/>
          <w:sz w:val="28"/>
          <w:szCs w:val="28"/>
        </w:rPr>
        <w:t xml:space="preserve">В связи с этим важное значение придается полноте и достоверности информации. Поскольку деятельность всех экономических субъектов в нынешних условиях сопровождается составлением различных форм бухгалтерской (финансовой) отчетности, то можно сказать, что одним из источников такой информации и будет являться такая отчетность, в том числе данные одной из форм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FF49D6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:rsidR="00CC1B31" w:rsidRDefault="009C57E9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E9">
        <w:rPr>
          <w:rFonts w:ascii="Times New Roman" w:hAnsi="Times New Roman" w:cs="Times New Roman"/>
          <w:sz w:val="28"/>
          <w:szCs w:val="28"/>
        </w:rPr>
        <w:t xml:space="preserve">Тема управления имуществом </w:t>
      </w:r>
      <w:r w:rsidR="00B74E0B">
        <w:rPr>
          <w:rFonts w:ascii="Times New Roman" w:hAnsi="Times New Roman" w:cs="Times New Roman"/>
          <w:sz w:val="28"/>
          <w:szCs w:val="28"/>
        </w:rPr>
        <w:t>предприятия</w:t>
      </w:r>
      <w:r w:rsidRPr="009C57E9">
        <w:rPr>
          <w:rFonts w:ascii="Times New Roman" w:hAnsi="Times New Roman" w:cs="Times New Roman"/>
          <w:sz w:val="28"/>
          <w:szCs w:val="28"/>
        </w:rPr>
        <w:t xml:space="preserve"> является актуальной из-за того, что переход к рыночной экономике вызвал серьезные изменения всей финансовой системы и в первую очередь ее основного звена - собственных ресурсов организации. </w:t>
      </w:r>
    </w:p>
    <w:p w:rsidR="00CC1B31" w:rsidRDefault="00CC1B31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Современные экономические условия поставили хозяйствующие субъекты различных организационно-правовых форм в такие жесткие экономические условия, которые объективно обусловливают проведение ими сбалансированной заинтересованной политики по поддержанию и укреплению имущественного состояния предприятия, его платежеспособности и финансовой устойчивости.</w:t>
      </w:r>
    </w:p>
    <w:p w:rsidR="00FF49D6" w:rsidRDefault="009C57E9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E9">
        <w:rPr>
          <w:rFonts w:ascii="Times New Roman" w:hAnsi="Times New Roman" w:cs="Times New Roman"/>
          <w:sz w:val="28"/>
          <w:szCs w:val="28"/>
        </w:rPr>
        <w:t xml:space="preserve">При управлении деятельностью любой организации в современных условиях хозяйствования одной из главных целей функционирования является обеспечение выживаемости организации на рынке и улучшение её благосостояния, требующего постоянного увеличения доходности и рентабельности организации при сохранении её ликвидности и платежеспособности. </w:t>
      </w:r>
    </w:p>
    <w:p w:rsidR="00FF49D6" w:rsidRDefault="009C57E9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E9">
        <w:rPr>
          <w:rFonts w:ascii="Times New Roman" w:hAnsi="Times New Roman" w:cs="Times New Roman"/>
          <w:sz w:val="28"/>
          <w:szCs w:val="28"/>
        </w:rPr>
        <w:t xml:space="preserve">Данное условие достигается посредством управления финансами организации. </w:t>
      </w:r>
    </w:p>
    <w:p w:rsidR="009C57E9" w:rsidRDefault="009C57E9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E9">
        <w:rPr>
          <w:rFonts w:ascii="Times New Roman" w:hAnsi="Times New Roman" w:cs="Times New Roman"/>
          <w:sz w:val="28"/>
          <w:szCs w:val="28"/>
        </w:rPr>
        <w:t>Состав имущества компании, его размер, и рациональное их использование оказывают особое влияние на итоговые</w:t>
      </w:r>
      <w:r w:rsidR="00CC1B31" w:rsidRPr="00CC1B31">
        <w:rPr>
          <w:rFonts w:ascii="Times New Roman" w:hAnsi="Times New Roman" w:cs="Times New Roman"/>
          <w:sz w:val="28"/>
          <w:szCs w:val="28"/>
        </w:rPr>
        <w:t xml:space="preserve"> </w:t>
      </w:r>
      <w:r w:rsidR="00CC1B31">
        <w:rPr>
          <w:rFonts w:ascii="Times New Roman" w:hAnsi="Times New Roman" w:cs="Times New Roman"/>
          <w:sz w:val="28"/>
          <w:szCs w:val="28"/>
        </w:rPr>
        <w:t>финансовые результаты.</w:t>
      </w:r>
    </w:p>
    <w:p w:rsidR="00CC1B31" w:rsidRPr="00CC1B31" w:rsidRDefault="00CC1B31" w:rsidP="009C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Имущество предприятия - это то, чем оно владеет: основной капитал и оборотный капитал, выраженный в денежной форме и отраженный в самостоятельном балансе предприятия. Имущественное состояние предприятия проявляется в платежеспособности предприятия, в способности вовремя удовлетворять платежные требования поставщиков в соответствии с хозяйственными договорами, возвращать кредиты, выплачивать зарплату, вносить платежи в бюджет.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7274C4">
        <w:t xml:space="preserve"> </w:t>
      </w:r>
      <w:r w:rsidRPr="007274C4">
        <w:rPr>
          <w:rFonts w:ascii="Times New Roman" w:eastAsiaTheme="minorEastAsia" w:hAnsi="Times New Roman" w:cs="Times New Roman"/>
          <w:sz w:val="28"/>
          <w:szCs w:val="28"/>
        </w:rPr>
        <w:t>изучении процессо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управления имуществом предприятия </w:t>
      </w:r>
      <w:r w:rsidRPr="007274C4">
        <w:rPr>
          <w:rFonts w:ascii="Times New Roman" w:eastAsiaTheme="minorEastAsia" w:hAnsi="Times New Roman" w:cs="Times New Roman"/>
          <w:sz w:val="28"/>
          <w:szCs w:val="28"/>
        </w:rPr>
        <w:t>ПАО «Иркутскэнерго»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рассмотреть теоретические аспекты управления имуществом предприятия;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выделить методы управления имуществом предприятия;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перечислить показатели эффективности управления имуществом организации;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рассмотреть организационно-экономическую характеристику предприятия ПАО «Иркутскэнерго».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провести анализ управления имуществом исследуемого предприятия;</w:t>
      </w:r>
    </w:p>
    <w:p w:rsidR="007274C4" w:rsidRPr="007274C4" w:rsidRDefault="007274C4" w:rsidP="007274C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74C4">
        <w:rPr>
          <w:rFonts w:ascii="Times New Roman" w:eastAsiaTheme="minorEastAsia" w:hAnsi="Times New Roman" w:cs="Times New Roman"/>
          <w:sz w:val="28"/>
          <w:szCs w:val="28"/>
        </w:rPr>
        <w:t>разработать мероприятия для совершенствования процессов управления имуществом предприятия.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 исследования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–</m:t>
        </m:r>
      </m:oMath>
      <w:r w:rsidRPr="0017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 компании</w:t>
      </w:r>
      <w:r w:rsidRPr="0017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ПАО «Иркутскэнерго».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Pr="0017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управлением имуществом </w:t>
      </w:r>
      <w:r w:rsidRPr="007274C4">
        <w:rPr>
          <w:rFonts w:ascii="Times New Roman" w:eastAsia="Calibri" w:hAnsi="Times New Roman" w:cs="Times New Roman"/>
          <w:sz w:val="28"/>
          <w:szCs w:val="28"/>
        </w:rPr>
        <w:t>ПАО «Иркутскэнерго».</w:t>
      </w:r>
    </w:p>
    <w:p w:rsidR="007274C4" w:rsidRPr="00B213E2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E2">
        <w:rPr>
          <w:rFonts w:ascii="Times New Roman" w:eastAsia="Calibri" w:hAnsi="Times New Roman" w:cs="Times New Roman"/>
          <w:sz w:val="28"/>
          <w:szCs w:val="28"/>
        </w:rPr>
        <w:t xml:space="preserve">Эмпирическую и информационную базу исследования составили статистические и аналитические материалы Федеральной службы государственной статистики РФ, законодательные акты и иные нормативные документы. </w:t>
      </w:r>
    </w:p>
    <w:p w:rsidR="007274C4" w:rsidRPr="00B213E2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E2">
        <w:rPr>
          <w:rFonts w:ascii="Times New Roman" w:eastAsia="Calibri" w:hAnsi="Times New Roman" w:cs="Times New Roman"/>
          <w:bCs/>
          <w:sz w:val="28"/>
          <w:szCs w:val="28"/>
        </w:rPr>
        <w:t xml:space="preserve">Цель и задачи исследования определили общую структуру </w:t>
      </w:r>
      <w:r>
        <w:rPr>
          <w:rFonts w:ascii="Times New Roman" w:eastAsia="Calibri" w:hAnsi="Times New Roman" w:cs="Times New Roman"/>
          <w:bCs/>
          <w:sz w:val="28"/>
          <w:szCs w:val="28"/>
        </w:rPr>
        <w:t>курсовой работы</w:t>
      </w:r>
      <w:r w:rsidRPr="00B213E2">
        <w:rPr>
          <w:rFonts w:ascii="Times New Roman" w:eastAsia="Calibri" w:hAnsi="Times New Roman" w:cs="Times New Roman"/>
          <w:bCs/>
          <w:sz w:val="28"/>
          <w:szCs w:val="28"/>
        </w:rPr>
        <w:t xml:space="preserve">, она представлена введением,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двумя главами, заключением и</w:t>
      </w:r>
      <w:r w:rsidRPr="00B213E2">
        <w:rPr>
          <w:rFonts w:ascii="Times New Roman" w:eastAsia="Calibri" w:hAnsi="Times New Roman" w:cs="Times New Roman"/>
          <w:bCs/>
          <w:sz w:val="28"/>
          <w:szCs w:val="28"/>
        </w:rPr>
        <w:t xml:space="preserve"> сп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иском использованных источников.</w:t>
      </w:r>
    </w:p>
    <w:p w:rsidR="007274C4" w:rsidRPr="00B213E2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E2">
        <w:rPr>
          <w:rFonts w:ascii="Times New Roman" w:eastAsia="Calibri" w:hAnsi="Times New Roman" w:cs="Times New Roman"/>
          <w:sz w:val="28"/>
          <w:szCs w:val="28"/>
        </w:rPr>
        <w:t>Системный подход позволил последовательно решить поставленные задачи, добиться комплексности исследования и достичь заявленной цели работы.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4C4" w:rsidRDefault="007274C4" w:rsidP="007274C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74C4" w:rsidRPr="007274C4" w:rsidRDefault="007274C4" w:rsidP="007274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1" w:rsidRDefault="00CC1B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Pr="007274C4" w:rsidRDefault="00B74E0B" w:rsidP="007274C4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Toc71684930"/>
      <w:r w:rsidRPr="007274C4">
        <w:rPr>
          <w:rFonts w:ascii="Times New Roman" w:hAnsi="Times New Roman" w:cs="Times New Roman"/>
          <w:color w:val="000000" w:themeColor="text1"/>
        </w:rPr>
        <w:t>1</w:t>
      </w:r>
      <w:r w:rsidR="009C57E9" w:rsidRPr="007274C4">
        <w:rPr>
          <w:rFonts w:ascii="Times New Roman" w:hAnsi="Times New Roman" w:cs="Times New Roman"/>
          <w:color w:val="000000" w:themeColor="text1"/>
        </w:rPr>
        <w:t xml:space="preserve"> Теоретические аспекты управления имуществом предприятия</w:t>
      </w:r>
      <w:bookmarkEnd w:id="0"/>
    </w:p>
    <w:p w:rsidR="007274C4" w:rsidRPr="007274C4" w:rsidRDefault="009C57E9" w:rsidP="007274C4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bookmarkStart w:id="1" w:name="_Toc71684931"/>
      <w:r w:rsidRPr="007274C4">
        <w:rPr>
          <w:rStyle w:val="10"/>
          <w:rFonts w:ascii="Times New Roman" w:hAnsi="Times New Roman" w:cs="Times New Roman"/>
          <w:color w:val="000000" w:themeColor="text1"/>
        </w:rPr>
        <w:t>1.1 Понятие и сущность имущества, его классификации</w:t>
      </w:r>
      <w:bookmarkEnd w:id="1"/>
      <w:r w:rsidRPr="007274C4">
        <w:rPr>
          <w:color w:val="000000" w:themeColor="text1"/>
          <w:sz w:val="27"/>
          <w:szCs w:val="27"/>
        </w:rPr>
        <w:t>.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Для осуществления хозяйственной деятельности организация должна иметь определённое имущество либо на правах собственности, либо на правах владения (аренды) </w:t>
      </w:r>
      <w:r w:rsidRPr="00BE7929">
        <w:rPr>
          <w:rFonts w:ascii="Times New Roman" w:hAnsi="Times New Roman" w:cs="Times New Roman"/>
          <w:sz w:val="28"/>
          <w:szCs w:val="28"/>
        </w:rPr>
        <w:t>[</w:t>
      </w:r>
      <w:r w:rsidR="00BE7929" w:rsidRPr="00BE7929">
        <w:rPr>
          <w:rFonts w:ascii="Times New Roman" w:hAnsi="Times New Roman" w:cs="Times New Roman"/>
          <w:sz w:val="28"/>
          <w:szCs w:val="28"/>
        </w:rPr>
        <w:t>5</w:t>
      </w:r>
      <w:r w:rsidRPr="00BE7929">
        <w:rPr>
          <w:rFonts w:ascii="Times New Roman" w:hAnsi="Times New Roman" w:cs="Times New Roman"/>
          <w:sz w:val="28"/>
          <w:szCs w:val="28"/>
        </w:rPr>
        <w:t>, с.84].</w:t>
      </w:r>
      <w:r w:rsidRPr="0072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31" w:rsidRDefault="00CC1B31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Имущество предприятия - материальные и нематериальные элементы, используемые предприятием в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B3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Управление имуществом является одной из важнейших подсистем общей системы управления организацией. 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Объектами управления в ней выступают имущественные комплексы и имущественные объекты. </w:t>
      </w:r>
    </w:p>
    <w:p w:rsidR="007274C4" w:rsidRDefault="007274C4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>Этими объектами являются здания, сооружения, машины, оборудование и так далее, а также организационно-правовые отношения между субъектами экономической деятельности по поводу имущества</w:t>
      </w:r>
      <w:r w:rsidR="00490006">
        <w:rPr>
          <w:rFonts w:ascii="Times New Roman" w:hAnsi="Times New Roman" w:cs="Times New Roman"/>
          <w:sz w:val="28"/>
          <w:szCs w:val="28"/>
        </w:rPr>
        <w:t>.</w:t>
      </w:r>
    </w:p>
    <w:p w:rsidR="00490006" w:rsidRDefault="00490006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Повышение экономического, финансового, производственного и инновационного потенциала организации требует гармоничного управления всем имущественным комплексом. </w:t>
      </w:r>
    </w:p>
    <w:p w:rsidR="00490006" w:rsidRDefault="00490006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Управление имуществом организации тесно связано с другими направлениями менеджмента, особенно с управлением финансами, инвестициями, затратами, техническим и инновационным развитием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006" w:rsidRDefault="00490006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Принципы управления имуществом организации включают в себя: </w:t>
      </w:r>
    </w:p>
    <w:p w:rsidR="00490006" w:rsidRPr="00490006" w:rsidRDefault="00490006" w:rsidP="0049000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решений, которые главным образом относятся к имуществу; </w:t>
      </w:r>
    </w:p>
    <w:p w:rsidR="00490006" w:rsidRPr="00490006" w:rsidRDefault="00490006" w:rsidP="0049000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создание подразделения по управлению имуществом; 3) разработка и осуществление инвестиционных проектов, которые предусматривают изменения в имуществе; </w:t>
      </w:r>
    </w:p>
    <w:p w:rsidR="00490006" w:rsidRPr="00490006" w:rsidRDefault="00490006" w:rsidP="0049000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проведение мероприятий, влияющих на организационную структуру управления; </w:t>
      </w:r>
    </w:p>
    <w:p w:rsidR="00490006" w:rsidRPr="00490006" w:rsidRDefault="00490006" w:rsidP="0049000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создание центров финансовой ответственности; 6) разработка инновационных проектов по совершенствованию управления имуществом компании </w:t>
      </w:r>
      <w:r w:rsidRPr="00BE7929">
        <w:rPr>
          <w:rFonts w:ascii="Times New Roman" w:hAnsi="Times New Roman" w:cs="Times New Roman"/>
          <w:sz w:val="28"/>
          <w:szCs w:val="28"/>
        </w:rPr>
        <w:t>[</w:t>
      </w:r>
      <w:r w:rsidR="00BE7929" w:rsidRPr="00BE7929">
        <w:rPr>
          <w:rFonts w:ascii="Times New Roman" w:hAnsi="Times New Roman" w:cs="Times New Roman"/>
          <w:sz w:val="28"/>
          <w:szCs w:val="28"/>
        </w:rPr>
        <w:t>1</w:t>
      </w:r>
      <w:r w:rsidRPr="00BE7929">
        <w:rPr>
          <w:rFonts w:ascii="Times New Roman" w:hAnsi="Times New Roman" w:cs="Times New Roman"/>
          <w:sz w:val="28"/>
          <w:szCs w:val="28"/>
        </w:rPr>
        <w:t>0, с.66].</w:t>
      </w:r>
      <w:r w:rsidRPr="0049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6" w:rsidRDefault="00490006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Управление имуществом – это система, которая представляет собой систему методов разработки и реализации управленческих решений, связанных с формированием, а также эффективным использованием имущественных  объектов в самой деятельности компании.</w:t>
      </w:r>
    </w:p>
    <w:p w:rsidR="004976CC" w:rsidRP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i/>
          <w:iCs/>
          <w:sz w:val="28"/>
          <w:szCs w:val="28"/>
        </w:rPr>
        <w:t>Имущество предприятия</w:t>
      </w:r>
      <w:r w:rsidRPr="004976CC"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</w:rPr>
        <w:t>структурно это</w:t>
      </w:r>
      <w:r w:rsidRPr="004976CC">
        <w:rPr>
          <w:rFonts w:ascii="Times New Roman" w:hAnsi="Times New Roman" w:cs="Times New Roman"/>
          <w:sz w:val="28"/>
          <w:szCs w:val="28"/>
        </w:rPr>
        <w:t xml:space="preserve"> совокупность материальных, финансовых и нематериальных активов, принадлежащих предприятию и предназначенных для осуществления его деятельности.</w:t>
      </w:r>
    </w:p>
    <w:p w:rsidR="004976CC" w:rsidRP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sz w:val="28"/>
          <w:szCs w:val="28"/>
        </w:rPr>
        <w:t>В состав </w:t>
      </w:r>
      <w:r w:rsidRPr="004976CC">
        <w:rPr>
          <w:rFonts w:ascii="Times New Roman" w:hAnsi="Times New Roman" w:cs="Times New Roman"/>
          <w:bCs/>
          <w:i/>
          <w:iCs/>
          <w:sz w:val="28"/>
          <w:szCs w:val="28"/>
        </w:rPr>
        <w:t>материальных активов</w:t>
      </w:r>
      <w:r w:rsidRPr="004976CC">
        <w:rPr>
          <w:rFonts w:ascii="Times New Roman" w:hAnsi="Times New Roman" w:cs="Times New Roman"/>
          <w:sz w:val="28"/>
          <w:szCs w:val="28"/>
        </w:rPr>
        <w:t> входят земельные участки, здания, сооружения, машины, оборудование, сырье, материалы, полуфабрикаты, готовая продукция.</w:t>
      </w:r>
    </w:p>
    <w:p w:rsidR="004976CC" w:rsidRP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sz w:val="28"/>
          <w:szCs w:val="28"/>
        </w:rPr>
        <w:t>К </w:t>
      </w:r>
      <w:r w:rsidRPr="004976CC">
        <w:rPr>
          <w:rFonts w:ascii="Times New Roman" w:hAnsi="Times New Roman" w:cs="Times New Roman"/>
          <w:bCs/>
          <w:i/>
          <w:iCs/>
          <w:sz w:val="28"/>
          <w:szCs w:val="28"/>
        </w:rPr>
        <w:t>финансовым активам</w:t>
      </w:r>
      <w:r w:rsidRPr="004976CC">
        <w:rPr>
          <w:rFonts w:ascii="Times New Roman" w:hAnsi="Times New Roman" w:cs="Times New Roman"/>
          <w:sz w:val="28"/>
          <w:szCs w:val="28"/>
        </w:rPr>
        <w:t> относятся: кассовая наличность, депозиты в банках, вклады, чеки, расчетные документы в пути, страховые полисы, вложения в государственные или частные ценные бумаги, потребительский кредит, паи и долевые вклады в другие предприятия.</w:t>
      </w:r>
    </w:p>
    <w:p w:rsidR="004976CC" w:rsidRP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bCs/>
          <w:i/>
          <w:iCs/>
          <w:sz w:val="28"/>
          <w:szCs w:val="28"/>
        </w:rPr>
        <w:t>Нематериальные активы</w:t>
      </w:r>
      <w:r w:rsidRPr="004976CC">
        <w:rPr>
          <w:rFonts w:ascii="Times New Roman" w:hAnsi="Times New Roman" w:cs="Times New Roman"/>
          <w:sz w:val="28"/>
          <w:szCs w:val="28"/>
        </w:rPr>
        <w:t> включают патенты на изобретения, товарные марки и знаки, фирменные наименования, репутацию предприятия, пакеты документов, ноу-хау и иные виды интеллектуальной собственности, авторские права на пользование ресурсами.</w:t>
      </w:r>
    </w:p>
    <w:p w:rsidR="004976CC" w:rsidRP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sz w:val="28"/>
          <w:szCs w:val="28"/>
        </w:rPr>
        <w:t>Часть имущества, срок применения которого более года, представляет собой долгосрочные активы (внеоборотный капитал). Имущество со сроком применения до года относится к краткосрочным активам (оборотному капиталу)</w:t>
      </w:r>
    </w:p>
    <w:p w:rsidR="004976CC" w:rsidRDefault="004976CC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CC">
        <w:rPr>
          <w:rFonts w:ascii="Times New Roman" w:hAnsi="Times New Roman" w:cs="Times New Roman"/>
          <w:sz w:val="28"/>
          <w:szCs w:val="28"/>
        </w:rPr>
        <w:t>Таким образом, структура имущества может выглядеть следующим образом (см. рисунок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976CC">
        <w:rPr>
          <w:rFonts w:ascii="Times New Roman" w:hAnsi="Times New Roman" w:cs="Times New Roman"/>
          <w:sz w:val="28"/>
          <w:szCs w:val="28"/>
        </w:rPr>
        <w:t>).</w:t>
      </w:r>
    </w:p>
    <w:p w:rsidR="004976CC" w:rsidRDefault="004976CC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CC" w:rsidRDefault="004976CC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286125"/>
            <wp:effectExtent l="0" t="0" r="9525" b="9525"/>
            <wp:docPr id="8" name="Рисунок 8" descr="https://studref.com/htm/img/29/804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29/8045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CC" w:rsidRDefault="004976CC" w:rsidP="004976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Pr="004976CC">
        <w:rPr>
          <w:rFonts w:ascii="Times New Roman" w:eastAsiaTheme="minorEastAsia" w:hAnsi="Times New Roman" w:cs="Times New Roman"/>
          <w:sz w:val="28"/>
          <w:szCs w:val="28"/>
        </w:rPr>
        <w:t>труктура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имущественного комплекса предприятия</w:t>
      </w:r>
    </w:p>
    <w:p w:rsid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Все имущество, находящееся у компании и отражённое в бухгалтерском балансе, по своему виду подразделяется на оборотные и внеоборотные активы. </w:t>
      </w:r>
    </w:p>
    <w:p w:rsid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Имущество организации состоит из производственных и непроизводственных фондов и других ценностей, стоимость которых отражена в бухгалтерском балансе компании как стоимость долгосрочных и текущих активов. </w:t>
      </w:r>
    </w:p>
    <w:p w:rsid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В зависимости от источников образования имущество организации делится на собственное и заемное. </w:t>
      </w:r>
    </w:p>
    <w:p w:rsid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Собственный капитал включает в себя: </w:t>
      </w:r>
    </w:p>
    <w:p w:rsidR="004976CC" w:rsidRPr="00490006" w:rsidRDefault="004976CC" w:rsidP="004976C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уставный капитал, который отражает величину собственных средств компании, отраженных в учредительных документах организации; </w:t>
      </w:r>
    </w:p>
    <w:p w:rsidR="004976CC" w:rsidRPr="00490006" w:rsidRDefault="004976CC" w:rsidP="004976C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добавочный капитал;</w:t>
      </w:r>
    </w:p>
    <w:p w:rsidR="004976CC" w:rsidRPr="00490006" w:rsidRDefault="004976CC" w:rsidP="004976C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резервный капитал, который создается для того, чтобы возместить убытки, возникающие в процессе хозяйственной деятельности; </w:t>
      </w:r>
    </w:p>
    <w:p w:rsidR="004976CC" w:rsidRPr="00490006" w:rsidRDefault="004976CC" w:rsidP="004976C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фонды специального назначения, состоящие из средств, использование которых возможно только для определенных, заранее оговоренных поставленных целей; </w:t>
      </w:r>
    </w:p>
    <w:p w:rsidR="004976CC" w:rsidRPr="00490006" w:rsidRDefault="004976CC" w:rsidP="004976CC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целевое финансирование, которое состоит из тех средств, которые поступили от других организаций или из государственного бюджета безвозмездно. </w:t>
      </w:r>
    </w:p>
    <w:p w:rsidR="004976CC" w:rsidRDefault="004976CC" w:rsidP="0049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4">
        <w:rPr>
          <w:rFonts w:ascii="Times New Roman" w:hAnsi="Times New Roman" w:cs="Times New Roman"/>
          <w:sz w:val="28"/>
          <w:szCs w:val="28"/>
        </w:rPr>
        <w:t xml:space="preserve">К заемным средствам относятся: </w:t>
      </w:r>
    </w:p>
    <w:p w:rsidR="004976CC" w:rsidRPr="00490006" w:rsidRDefault="004976CC" w:rsidP="004976C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банковские кредиты, которые, в свою очередь, подразделяются на краткосрочные и долгосрочные.</w:t>
      </w:r>
    </w:p>
    <w:p w:rsidR="004976CC" w:rsidRPr="00490006" w:rsidRDefault="004976CC" w:rsidP="004976C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кредиторская задолженность, которая представляет собой задолженность организации перед другими организациями или кредиторами</w:t>
      </w:r>
    </w:p>
    <w:p w:rsidR="004976CC" w:rsidRPr="00490006" w:rsidRDefault="004976CC" w:rsidP="004976C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заемные средства, которые включают в себя займы, предоставленные другими организациями под долговые обязательства. </w:t>
      </w:r>
    </w:p>
    <w:p w:rsidR="004976CC" w:rsidRPr="004976CC" w:rsidRDefault="004976CC" w:rsidP="004976C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обязательства по распределению, включающие в себя задолженность перед работниками организации по заработной плате, а также задолженность по платежам в бюджет. </w:t>
      </w:r>
    </w:p>
    <w:p w:rsidR="00490006" w:rsidRDefault="00490006" w:rsidP="0072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резюмируя данный параграф курсовой работы можем сказать, что п</w:t>
      </w:r>
      <w:r w:rsidRPr="00490006">
        <w:rPr>
          <w:rFonts w:ascii="Times New Roman" w:hAnsi="Times New Roman" w:cs="Times New Roman"/>
          <w:sz w:val="28"/>
          <w:szCs w:val="28"/>
        </w:rPr>
        <w:t xml:space="preserve">равильное и эффективное управление имуществом компании положительно отражается практически на всех её показателях деятельности, это полностью удовлетворяет интересы учредителя в данном случае общества и соответствует интересам компании. </w:t>
      </w:r>
    </w:p>
    <w:p w:rsidR="00490006" w:rsidRDefault="00490006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Целью деятельности любой организации и управления её имуществом является получение прибыли, а также повышение рыночной стоимости самой компании в долгосрочной перспективе.</w:t>
      </w:r>
      <w:r w:rsidR="00BE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CC" w:rsidRDefault="004976CC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06" w:rsidRPr="00490006" w:rsidRDefault="00490006" w:rsidP="00885D21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71684932"/>
      <w:r w:rsidRPr="00490006">
        <w:rPr>
          <w:rFonts w:ascii="Times New Roman" w:hAnsi="Times New Roman" w:cs="Times New Roman"/>
          <w:color w:val="000000" w:themeColor="text1"/>
          <w:sz w:val="28"/>
          <w:szCs w:val="28"/>
        </w:rPr>
        <w:t>1.2 Методы управления имуществом предприятия</w:t>
      </w:r>
      <w:bookmarkEnd w:id="2"/>
    </w:p>
    <w:p w:rsidR="00885D21" w:rsidRDefault="00490006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Имущество организации - материальные и нематериальные элементы, используемые компанией в финансовой деятельности. Имущество любой компании первоначально создается за счет имущества, которое было передано ей учредителями в виде вкладов. </w:t>
      </w:r>
    </w:p>
    <w:p w:rsidR="00885D21" w:rsidRDefault="00490006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Имущество организации увеличивается в процессе экономической деятельности. </w:t>
      </w:r>
    </w:p>
    <w:p w:rsidR="00885D21" w:rsidRDefault="00490006" w:rsidP="0049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Также оно может выступать объектом сделок, отчуждаться, закладываться и тому подобное. Обычно имущество компании обособлено (отделено) от имущества её учредителей, участников и работников. </w:t>
      </w:r>
    </w:p>
    <w:p w:rsidR="00885D21" w:rsidRDefault="00490006" w:rsidP="0049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>Принадлежащим ей имуществом организация отвечает по своим имеющимся долгам. На него могут быть обращены иски хозяйственных партнеров или кредиторов в том случае, если организация не выполняет какие</w:t>
      </w:r>
      <w:r w:rsidR="00885D21">
        <w:rPr>
          <w:rFonts w:ascii="Times New Roman" w:hAnsi="Times New Roman" w:cs="Times New Roman"/>
          <w:sz w:val="28"/>
          <w:szCs w:val="28"/>
        </w:rPr>
        <w:t>-</w:t>
      </w:r>
      <w:r w:rsidRPr="00490006">
        <w:rPr>
          <w:rFonts w:ascii="Times New Roman" w:hAnsi="Times New Roman" w:cs="Times New Roman"/>
          <w:sz w:val="28"/>
          <w:szCs w:val="28"/>
        </w:rPr>
        <w:t xml:space="preserve">либо обязательства перед ними. </w:t>
      </w:r>
    </w:p>
    <w:p w:rsidR="00885D21" w:rsidRDefault="00490006" w:rsidP="0049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В связи с тем, что каждая организация является самоокупающейся или самофинансируемой системой, обеспечивающей рентабельную работу, особое значение приобретают источники финансирования организации. </w:t>
      </w:r>
    </w:p>
    <w:p w:rsidR="00885D21" w:rsidRDefault="00490006" w:rsidP="0049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Для того чтобы классифицировать источники финансирования имущества организации, следует отметить, что классификация источников финансирования в российской практике значительно отличается от зарубежной. </w:t>
      </w:r>
    </w:p>
    <w:p w:rsidR="00885D21" w:rsidRDefault="00490006" w:rsidP="0049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В Российской Федерации источники финансирования </w:t>
      </w:r>
      <w:r w:rsidR="004976CC">
        <w:rPr>
          <w:rFonts w:ascii="Times New Roman" w:hAnsi="Times New Roman" w:cs="Times New Roman"/>
          <w:sz w:val="28"/>
          <w:szCs w:val="28"/>
        </w:rPr>
        <w:t xml:space="preserve">имушественного комплекса </w:t>
      </w:r>
      <w:r w:rsidRPr="00490006">
        <w:rPr>
          <w:rFonts w:ascii="Times New Roman" w:hAnsi="Times New Roman" w:cs="Times New Roman"/>
          <w:sz w:val="28"/>
          <w:szCs w:val="28"/>
        </w:rPr>
        <w:t xml:space="preserve">подразделяются на четыре группы: </w:t>
      </w:r>
    </w:p>
    <w:p w:rsidR="00885D21" w:rsidRPr="00885D21" w:rsidRDefault="00490006" w:rsidP="00885D21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Собственные средства организации</w:t>
      </w:r>
      <w:r w:rsidR="00885D21" w:rsidRPr="00885D21">
        <w:rPr>
          <w:rFonts w:ascii="Times New Roman" w:hAnsi="Times New Roman" w:cs="Times New Roman"/>
          <w:sz w:val="28"/>
          <w:szCs w:val="28"/>
        </w:rPr>
        <w:t>;</w:t>
      </w:r>
      <w:r w:rsidRPr="0088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21" w:rsidRPr="00885D21" w:rsidRDefault="00490006" w:rsidP="00885D21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Заёмные средства</w:t>
      </w:r>
      <w:r w:rsidR="00885D21" w:rsidRPr="00885D21">
        <w:rPr>
          <w:rFonts w:ascii="Times New Roman" w:hAnsi="Times New Roman" w:cs="Times New Roman"/>
          <w:sz w:val="28"/>
          <w:szCs w:val="28"/>
        </w:rPr>
        <w:t>;</w:t>
      </w:r>
      <w:r w:rsidRPr="0088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21" w:rsidRPr="00885D21" w:rsidRDefault="00490006" w:rsidP="00885D21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Привлеченные средства</w:t>
      </w:r>
      <w:r w:rsidR="00885D21" w:rsidRPr="00885D21">
        <w:rPr>
          <w:rFonts w:ascii="Times New Roman" w:hAnsi="Times New Roman" w:cs="Times New Roman"/>
          <w:sz w:val="28"/>
          <w:szCs w:val="28"/>
        </w:rPr>
        <w:t>;</w:t>
      </w:r>
      <w:r w:rsidRPr="0088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06" w:rsidRDefault="00490006" w:rsidP="00885D21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Средства государственного бюджета</w:t>
      </w:r>
      <w:r w:rsidR="00885D21" w:rsidRPr="00885D21">
        <w:rPr>
          <w:rFonts w:ascii="Times New Roman" w:hAnsi="Times New Roman" w:cs="Times New Roman"/>
          <w:sz w:val="28"/>
          <w:szCs w:val="28"/>
        </w:rPr>
        <w:t>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Графически бухгалтерский баланс представляет собой двухстороннюю таблицу: левая — актив, правая — пассив. В левой части отражаются хозяйственные средства организации по составу и размещению, а в правой — указаны собственные и заемные источники формирования имущества организации. При этом итог актива должен быть равен итогу пассива. Величину итогов актива и пассива баланса принято называть валютой баланса.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В актив баланса включены два раздела:</w:t>
      </w:r>
    </w:p>
    <w:p w:rsidR="00885D21" w:rsidRPr="00885D21" w:rsidRDefault="00885D21" w:rsidP="00885D21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раздел I «Внеоборотные активы» содержит данные о нематериальных активах, движимом и недвижимом имуществе; </w:t>
      </w:r>
    </w:p>
    <w:p w:rsidR="00885D21" w:rsidRPr="00885D21" w:rsidRDefault="00885D21" w:rsidP="00885D21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раздел II «Оборотные активы» содержит сведения об активах, которые используются (расходуются) в процессе повседневной хозяйственной деятельности.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пассив баланса включены три раздела: </w:t>
      </w:r>
    </w:p>
    <w:p w:rsidR="00885D21" w:rsidRPr="00885D21" w:rsidRDefault="00885D21" w:rsidP="00885D21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раздел III «Капитал и резервы» отражает информацию о собственном капитале организации, о непокрытых убытках и потерях на конец отчетного периода; </w:t>
      </w:r>
    </w:p>
    <w:p w:rsidR="00885D21" w:rsidRPr="00885D21" w:rsidRDefault="00885D21" w:rsidP="00885D21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раздел IV «Долгосрочные обязательства» указаны все средства, которые получены от юридических и физических лиц, подлежащие со временем возврату; </w:t>
      </w:r>
    </w:p>
    <w:p w:rsidR="00885D21" w:rsidRPr="00885D21" w:rsidRDefault="00885D21" w:rsidP="00885D21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раздел V «Краткосрочные обязательства» содержит информацию о задолженности по полученным краткосрочным кредитам банков и займам и текущей кредиторской задолженности, а также прочих краткосрочных обязательствах.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Анализ финансовых показателей деятельности организации – очень важная и неотъемлемая часть развития экономического субъекта с учетом возможных проблем, а также выявления причин отрицательного влияния, требующие устранения. Также анализ, являясь важной частью оценки устойчивости, помогает экономисту определить, работает ли организация эффективно и какие управленческие решения необходимо принять для улучшения или решения проблем с целью устранения негативных фа</w:t>
      </w:r>
      <w:r w:rsidRPr="00885D21">
        <w:rPr>
          <w:rFonts w:ascii="Times New Roman" w:hAnsi="Times New Roman" w:cs="Times New Roman"/>
          <w:b/>
          <w:sz w:val="28"/>
          <w:szCs w:val="28"/>
        </w:rPr>
        <w:t>кторов.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Обязательное условие стабильного и успешного функционирования предприятий, в первую очередь зависит от поставленных целей и приоритетных задач в деятельности данной организации. Приоритетность направлений деятельности предприятий будут определяться в зависимости от специфики конкретного типа организации.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Качество финансового состояния представляет собой комплексную характеристику субъекта хозяйствования, свидетельствующую о его состоятельности на текущий момент времени.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Можно выделить следующие распространённые направления, такие как: оценка рентабельности, денежных потоков, определение приоритетных направлений для эффективного функционирования организации, контроль ключевых показателей и т.д.). </w:t>
      </w:r>
    </w:p>
    <w:p w:rsidR="00885D21" w:rsidRPr="00885D21" w:rsidRDefault="00885D21" w:rsidP="00885D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база анализа финансового состояния представлена на рисунке </w:t>
      </w:r>
      <w:r w:rsidR="00497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D21" w:rsidRPr="00885D21" w:rsidRDefault="00885D21" w:rsidP="00885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D21">
        <w:rPr>
          <w:rFonts w:asciiTheme="majorBidi" w:eastAsia="Times New Roman" w:hAnsiTheme="majorBidi" w:cstheme="majorBidi"/>
          <w:i/>
          <w:noProof/>
          <w:sz w:val="28"/>
          <w:szCs w:val="28"/>
          <w:lang w:eastAsia="ru-RU"/>
        </w:rPr>
        <w:drawing>
          <wp:inline distT="0" distB="0" distL="0" distR="0" wp14:anchorId="3BA55321" wp14:editId="5072ED95">
            <wp:extent cx="5486400" cy="4106385"/>
            <wp:effectExtent l="57150" t="19050" r="19050" b="889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85D21" w:rsidRPr="00885D21" w:rsidRDefault="00885D21" w:rsidP="00885D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5D21" w:rsidRPr="00885D21" w:rsidRDefault="00885D21" w:rsidP="00885D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976CC">
        <w:rPr>
          <w:rFonts w:ascii="Times New Roman" w:hAnsi="Times New Roman" w:cs="Times New Roman"/>
          <w:sz w:val="28"/>
          <w:szCs w:val="28"/>
        </w:rPr>
        <w:t>2</w:t>
      </w:r>
      <w:r w:rsidRPr="00885D21">
        <w:rPr>
          <w:rFonts w:ascii="Times New Roman" w:hAnsi="Times New Roman" w:cs="Times New Roman"/>
          <w:sz w:val="28"/>
          <w:szCs w:val="28"/>
        </w:rPr>
        <w:t xml:space="preserve"> – Информационная база анализа финансового состояния предприятия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Все эти аспекты формируют общую систематическую модель развития деятельности организаций. В современной экономике нет единого подхода к методике оценки и диагностики финансового состояния.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Связано, это с тем, что разные экономисты обозначают различные критерии и показатели диагностики финансового состояния: </w:t>
      </w:r>
    </w:p>
    <w:p w:rsidR="00885D21" w:rsidRPr="00885D21" w:rsidRDefault="00885D21" w:rsidP="00885D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соответствии с одними критериями оценивается структуры и содержания имущества, а также их влияния на способность субъекта хозяйствования к финансированию собственного бизнеса с меньшим или большим риском привлечения заемного капитала; </w:t>
      </w:r>
    </w:p>
    <w:p w:rsidR="00885D21" w:rsidRPr="00885D21" w:rsidRDefault="00885D21" w:rsidP="00885D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соответствии с другими критериями производится оценка способности организации к своевременному расчету по обязательствам; </w:t>
      </w:r>
    </w:p>
    <w:p w:rsidR="00885D21" w:rsidRPr="00885D21" w:rsidRDefault="00885D21" w:rsidP="00885D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соответствии с третьими критериями осуществляется определение признаков банкротства.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По находящимся в состоянии финансового кризиса организациям производится прогноз изменения их платежеспособности на ближайшую перспективу и отдаленную перспективу.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Для описания основных методов, используемых в финансовой аналитике, обратимся к концептуальному аппарату.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переводе с греческого слово «метод» означает «путь к чему-то». То есть метод может быть обозначен - способ достижения цели посредством оптимизации деятельности. Техника, по сравнению с методом, является более конкретной и содержательной.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Техника выражает конкретные последовательные действия, основанные на принятом методе. То есть понятие «техника» ближе к термину «технология».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Механизм управления финансовым состоянием организации — это система элементов, регулирующих финансовую деятельность компании.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 трудах ведущих экономистов таких как Шеремет А.Д, Ковалев В.В., Любушин Н.П., Панков Д.А. широко приведены основные положения, которые относятся к методам анализа финансово-хозяйственной деятельности предприятий.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Как отмечают авторы, в настоящее время сложилась следующая классификация, используемые в качестве базовых финансовых методов: </w:t>
      </w:r>
    </w:p>
    <w:p w:rsidR="00885D21" w:rsidRPr="00885D21" w:rsidRDefault="00885D21" w:rsidP="00885D2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горизонтальный; </w:t>
      </w:r>
    </w:p>
    <w:p w:rsidR="00885D21" w:rsidRPr="00885D21" w:rsidRDefault="00885D21" w:rsidP="00885D2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трендовый; </w:t>
      </w:r>
    </w:p>
    <w:p w:rsidR="00885D21" w:rsidRPr="00885D21" w:rsidRDefault="00885D21" w:rsidP="00885D2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сравнительный; </w:t>
      </w:r>
    </w:p>
    <w:p w:rsidR="00885D21" w:rsidRPr="00885D21" w:rsidRDefault="00885D21" w:rsidP="00885D2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вертикальный; </w:t>
      </w:r>
    </w:p>
    <w:p w:rsidR="00885D21" w:rsidRPr="00885D21" w:rsidRDefault="00885D21" w:rsidP="00885D21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факторный и др.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Горизонтальный анализ дает возможность определить абсолютные и относительные изменения различных статей отчетности по сравнению с базисным (предыдущим) периодом.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Вертикальный или структурный анализ – интерпретирует конечные данные рассматриваемых статей баланса в виде относительных величин. Одним из самых важных показателей предприятия является выручка от реализации продукции.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Для общего формирования заключения об эффективности деятельности предприятия, в современной практике используется сравнительный анализ в целях оценки финансовых показателей.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При этом, при использовании данного метода, проводится сравнение со сторонними предприятиями, схожие по своему назначению.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Для интерпретации количественной оценки финансовых показателей применяется метод финансовых показателей для выявления коррелированности с базовыми показателями. Более того, для получения максимально точного значения результата целесообразно совмещать различные методы оценки с полученным прогнозным показателем.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Обеспеченность подразумевает, что хозяйствующий субъект не только не страдает от проблемы нехватки оборотных активов, но и не имеет их чрезмерного количества. Одним из наиболее важных факторов, которые сильно влияют на финансовые результаты предприятия, является выполнение финансового плана по всем показателям, от которых будет зависеть вся деятельность организации в целом.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Другими словами, финансовое состояние характеризует в целом финансовую конкурентоспособность организации. 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Уровень финансового состояния отражается через: </w:t>
      </w:r>
    </w:p>
    <w:p w:rsidR="00885D21" w:rsidRPr="00885D21" w:rsidRDefault="00885D21" w:rsidP="00885D2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структуру заемного и собственного капитала, структуру размещения его между разными видами имущества; </w:t>
      </w:r>
      <w:r w:rsidRPr="00885D21">
        <w:sym w:font="Symbol" w:char="F02D"/>
      </w:r>
      <w:r w:rsidRPr="00885D21">
        <w:rPr>
          <w:rFonts w:ascii="Times New Roman" w:hAnsi="Times New Roman" w:cs="Times New Roman"/>
          <w:sz w:val="28"/>
          <w:szCs w:val="28"/>
        </w:rPr>
        <w:t xml:space="preserve"> эффективность применения ресурсов организации; </w:t>
      </w:r>
    </w:p>
    <w:p w:rsidR="00885D21" w:rsidRPr="00885D21" w:rsidRDefault="00885D21" w:rsidP="00885D2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платежеспособность, ликвидность, финансовую стабильность субъекта хозяйствования;</w:t>
      </w:r>
    </w:p>
    <w:p w:rsidR="009C57E9" w:rsidRPr="00885D21" w:rsidRDefault="00885D21" w:rsidP="00B74E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инвестиционную привлекательность организации и так далее.</w:t>
      </w:r>
    </w:p>
    <w:p w:rsidR="009C57E9" w:rsidRPr="00885D21" w:rsidRDefault="009C57E9" w:rsidP="00885D21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71684933"/>
      <w:r w:rsidRPr="00885D21">
        <w:rPr>
          <w:rFonts w:ascii="Times New Roman" w:hAnsi="Times New Roman" w:cs="Times New Roman"/>
          <w:color w:val="000000" w:themeColor="text1"/>
        </w:rPr>
        <w:t>1.3 Показатели эффективности управления имуществ</w:t>
      </w:r>
      <w:r w:rsidR="00885D21" w:rsidRPr="00885D21">
        <w:rPr>
          <w:rFonts w:ascii="Times New Roman" w:hAnsi="Times New Roman" w:cs="Times New Roman"/>
          <w:color w:val="000000" w:themeColor="text1"/>
        </w:rPr>
        <w:t>ом организации</w:t>
      </w:r>
      <w:bookmarkEnd w:id="3"/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885D21">
        <w:rPr>
          <w:rFonts w:ascii="Times New Roman" w:hAnsi="Times New Roman" w:cs="Times New Roman"/>
          <w:sz w:val="28"/>
          <w:szCs w:val="28"/>
        </w:rPr>
        <w:t xml:space="preserve"> эффективности управления имуществом – один из существенных элементов управленческой деятельности. 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Учитывая то многообразие задач, которые необходимо ежедневно решать руководителю организации, достаточно непросто выделить время для того, чтобы заняться детальным анализом достигаемого эффекта при управлении имуществом, особенно в случае, если организация включает в себя филиальную сеть или имеет подведомственные структуры.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Большинство показателей </w:t>
      </w:r>
      <w:r>
        <w:rPr>
          <w:rFonts w:ascii="Times New Roman" w:hAnsi="Times New Roman" w:cs="Times New Roman"/>
          <w:sz w:val="28"/>
          <w:szCs w:val="28"/>
        </w:rPr>
        <w:t>управления имуществом</w:t>
      </w:r>
      <w:r w:rsidRPr="009914B1">
        <w:rPr>
          <w:rFonts w:ascii="Times New Roman" w:hAnsi="Times New Roman" w:cs="Times New Roman"/>
          <w:sz w:val="28"/>
          <w:szCs w:val="28"/>
        </w:rPr>
        <w:t xml:space="preserve"> имеют происхождение в зарубежной практике, предлагает создать отечественную нормативную базу, где должны быть перечислены все используемые в анализе понятия и формулы, которые должны включать соответствующие строки баланса. 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Соответственно, показатели и формулы должны быть синхронизированы с международными стандартами отчетности. 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Данный подход, по мнению автора, необходим в условиях расширения числа предприятий, формирующих финансовую отчетность и, в частности – баланс с учетом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Также автор предлагает использовать показатели </w:t>
      </w:r>
      <w:r>
        <w:rPr>
          <w:rFonts w:ascii="Times New Roman" w:hAnsi="Times New Roman" w:cs="Times New Roman"/>
          <w:sz w:val="28"/>
          <w:szCs w:val="28"/>
        </w:rPr>
        <w:t>управления имуществом</w:t>
      </w:r>
      <w:r w:rsidRPr="009914B1">
        <w:rPr>
          <w:rFonts w:ascii="Times New Roman" w:hAnsi="Times New Roman" w:cs="Times New Roman"/>
          <w:sz w:val="28"/>
          <w:szCs w:val="28"/>
        </w:rPr>
        <w:t xml:space="preserve"> в анализе финансового состояния с учетом специфики деятельности предприятия. Например, для компаний, которые предоставляют услуги и не имеют на балансе запасов, рассчитать тип финансово</w:t>
      </w:r>
      <w:r>
        <w:rPr>
          <w:rFonts w:ascii="Times New Roman" w:hAnsi="Times New Roman" w:cs="Times New Roman"/>
          <w:sz w:val="28"/>
          <w:szCs w:val="28"/>
        </w:rPr>
        <w:t>й устойчивости – проблематично.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Аналогично невозможно получить корректные показатели по одной и той же формуле для торгового и производственного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Глисин А.Ф. считает устаревшими нормативные значения коэффициентов ликвидности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Например, в составе дебиторской задолженности предприятия может быть задолженность со сроком погашения более одного года. В таком случае, необходимо исключить ее из формулы расчета текущей ликвидности. Учитывать специфику показателей баланса на каждом отдельном предприятии необходимо, так как полученные результаты анализа могут привести к ошибочному мнению о платежеспособности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E38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75E38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Еще одной тенденцией использования баланса для анализа финансовой устойчивости является параллельная оценка динамики экономической добавленной стоимости (ЭДС). 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Если данный показатель в динамике возрастает или остается стабильным, компанию можно считать финансово-устойчивой. 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Одним из аргументов в пользу исследования динамики ЭДС является то, что предприятия демонстрируют значительное расхождение между балансовой и рыночной стоимостью активов.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914B1">
        <w:rPr>
          <w:rFonts w:ascii="Times New Roman" w:hAnsi="Times New Roman" w:cs="Times New Roman"/>
          <w:sz w:val="28"/>
          <w:szCs w:val="28"/>
        </w:rPr>
        <w:t xml:space="preserve"> акцентир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914B1">
        <w:rPr>
          <w:rFonts w:ascii="Times New Roman" w:hAnsi="Times New Roman" w:cs="Times New Roman"/>
          <w:sz w:val="28"/>
          <w:szCs w:val="28"/>
        </w:rPr>
        <w:t xml:space="preserve"> внимание на содержании в структуре  баланса неформальных активов и обязательств, который может увеличивать  или уменьшать ценность организации для инвесторов, но при этом искажать  реальные данные анализа финансового состояния. 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Например, когда в составе кредиторской задолженности состоит сумма задолженности, которая будет зачтена в ближайшее время (планируется возврат товара). 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Автор настаивает на идентификации таких активов и обязательств и исключении их из формул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8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Таким образом, основными тенденциями использования </w:t>
      </w:r>
      <w:r>
        <w:rPr>
          <w:rFonts w:ascii="Times New Roman" w:hAnsi="Times New Roman" w:cs="Times New Roman"/>
          <w:sz w:val="28"/>
          <w:szCs w:val="28"/>
        </w:rPr>
        <w:t>показателей управления имуществом</w:t>
      </w:r>
      <w:r w:rsidRPr="009914B1">
        <w:rPr>
          <w:rFonts w:ascii="Times New Roman" w:hAnsi="Times New Roman" w:cs="Times New Roman"/>
          <w:sz w:val="28"/>
          <w:szCs w:val="28"/>
        </w:rPr>
        <w:t xml:space="preserve"> для оценки финансового состояния компании является: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1. Детализация отдельных статей баланса.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2. Трансформация показателей баланса с учетом их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4B1">
        <w:rPr>
          <w:rFonts w:ascii="Times New Roman" w:hAnsi="Times New Roman" w:cs="Times New Roman"/>
          <w:sz w:val="28"/>
          <w:szCs w:val="28"/>
        </w:rPr>
        <w:t>смысла.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>3. Использование инструментов анализа смежных наук.</w:t>
      </w:r>
    </w:p>
    <w:p w:rsidR="00885D21" w:rsidRPr="009914B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4. Корректировка формул анализа, исходя из специфики деятельности компании. </w:t>
      </w:r>
    </w:p>
    <w:p w:rsid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B1">
        <w:rPr>
          <w:rFonts w:ascii="Times New Roman" w:hAnsi="Times New Roman" w:cs="Times New Roman"/>
          <w:sz w:val="28"/>
          <w:szCs w:val="28"/>
        </w:rPr>
        <w:t xml:space="preserve">Учитывая вышеприведенные современные методики использования </w:t>
      </w:r>
      <w:r>
        <w:rPr>
          <w:rFonts w:ascii="Times New Roman" w:hAnsi="Times New Roman" w:cs="Times New Roman"/>
          <w:sz w:val="28"/>
          <w:szCs w:val="28"/>
        </w:rPr>
        <w:t>управления имуществом</w:t>
      </w:r>
      <w:r w:rsidRPr="009914B1">
        <w:rPr>
          <w:rFonts w:ascii="Times New Roman" w:hAnsi="Times New Roman" w:cs="Times New Roman"/>
          <w:sz w:val="28"/>
          <w:szCs w:val="28"/>
        </w:rPr>
        <w:t>, необходимо выборочно применять их к конкретному предприятию.</w:t>
      </w:r>
    </w:p>
    <w:p w:rsidR="00CC1B31" w:rsidRDefault="00CC1B3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основные и</w:t>
      </w:r>
      <w:r w:rsidRPr="00CC1B31">
        <w:rPr>
          <w:rFonts w:ascii="Times New Roman" w:hAnsi="Times New Roman" w:cs="Times New Roman"/>
          <w:sz w:val="28"/>
          <w:szCs w:val="28"/>
        </w:rPr>
        <w:t>сточники формирования имущественного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31" w:rsidRDefault="00CC1B31" w:rsidP="00CC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Первоначально, на этапе создания предприятия, его имущество формируется за счёт имущества, переданного ему учредителями в виде вкладов (взносов, паёв). Этот вклад может быть осуществлён учредителями в любой форме: денежной, материальной (здания, земля, оборудование, материалы и др.) и нематериальной (интеллектуальная собственность и другие нематериальные активы). 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Обычно имущество предприятия обособлено от имущества его учредител</w:t>
      </w:r>
      <w:r>
        <w:rPr>
          <w:rFonts w:ascii="Times New Roman" w:hAnsi="Times New Roman" w:cs="Times New Roman"/>
          <w:sz w:val="28"/>
          <w:szCs w:val="28"/>
        </w:rPr>
        <w:t>ей, участников и работников[3].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В процессе производственной и хозяйственной деятельности имущество предприятия, как правило, увеличивается, что отражается в показателе ба</w:t>
      </w:r>
      <w:r>
        <w:rPr>
          <w:rFonts w:ascii="Times New Roman" w:hAnsi="Times New Roman" w:cs="Times New Roman"/>
          <w:sz w:val="28"/>
          <w:szCs w:val="28"/>
        </w:rPr>
        <w:t>лансовой стоимости предприятия.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B31">
        <w:rPr>
          <w:rFonts w:ascii="Times New Roman" w:hAnsi="Times New Roman" w:cs="Times New Roman"/>
          <w:i/>
          <w:sz w:val="28"/>
          <w:szCs w:val="28"/>
        </w:rPr>
        <w:t>Основными источниками формирования имущества предприятия являются: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Денежные и материальные вклады учредителей;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Прибыль, полученная от реализации продукции, услуг, других видов хозяйственной деятельности;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Прибыль от ценных бумаг;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Амортизационные отчисления;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Кредиты банков и прочих кредиторов;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Капиталовложения и дотации из бюджетов;</w:t>
      </w:r>
    </w:p>
    <w:p w:rsidR="00CC1B31" w:rsidRPr="00CC1B31" w:rsidRDefault="00CC1B31" w:rsidP="00CC1B31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Имущество, приобретённое у других субъектов хозяйствования, организаций и граждан в установленном законодательством порядке;</w:t>
      </w:r>
    </w:p>
    <w:p w:rsidR="00885D21" w:rsidRPr="004976CC" w:rsidRDefault="00CC1B31" w:rsidP="004976CC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Другие источники, не противоречащие законодательству.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1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Используя имущество, предприятие выпускает продукцию, оказывает услуги, а также занимается 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 реализацией в условиях рынка.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1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Кроме того, имущество предприятия может являться объектом сделок, отчуждаться, закладываться и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использоваться другим способом.</w:t>
      </w:r>
    </w:p>
    <w:p w:rsidR="00CC1B31" w:rsidRPr="00CC1B31" w:rsidRDefault="00CC1B31" w:rsidP="00CC1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1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Предприятие отвечает по своим обязательствам принадлежащим ему имуществом, на которое могут быть обращены иски хозяйственных партнёров или кредиторов в случае невыполнения предприятием имущественных обязательств 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еред ними.</w:t>
      </w:r>
    </w:p>
    <w:p w:rsidR="00CC1B31" w:rsidRDefault="00CC1B31" w:rsidP="00CC1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1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 признания предприятия несостоятельным (банкротом) его имущество в соответствии с установленными законами процедурами может использоваться для удовлетворения требований кредиторов. Оставшееся после удовлетворения требований кредиторов имущество ликвидируемого предприятия передается его учредителям (участникам), имеющим на это имущество вещные права или обязательственные права в отношении предприятия. </w:t>
      </w:r>
    </w:p>
    <w:p w:rsidR="00CC1B31" w:rsidRDefault="00CC1B31" w:rsidP="00CC1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1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российскому законодательству учредители и участники предприятия имеют обязательственные права в отношении хозяйственных товариществ и обществ, производственных кооперативов. На имущество государственных и муниципальных унитарных предприятий, а также дочерних обществ учредители имеют право собственности или иные вещные права.</w:t>
      </w:r>
    </w:p>
    <w:p w:rsidR="00885D21" w:rsidRPr="00885D21" w:rsidRDefault="00885D21" w:rsidP="0088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21" w:rsidRDefault="00885D21" w:rsidP="00885D21"/>
    <w:p w:rsidR="009C57E9" w:rsidRPr="00885D21" w:rsidRDefault="00B74E0B" w:rsidP="00885D21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4" w:name="_Toc71684934"/>
      <w:r w:rsidRPr="00885D21">
        <w:rPr>
          <w:rFonts w:ascii="Times New Roman" w:hAnsi="Times New Roman" w:cs="Times New Roman"/>
          <w:color w:val="000000" w:themeColor="text1"/>
        </w:rPr>
        <w:t xml:space="preserve">2 </w:t>
      </w:r>
      <w:r w:rsidR="009C57E9" w:rsidRPr="00885D21">
        <w:rPr>
          <w:rFonts w:ascii="Times New Roman" w:hAnsi="Times New Roman" w:cs="Times New Roman"/>
          <w:color w:val="000000" w:themeColor="text1"/>
        </w:rPr>
        <w:t>Особенности оценки управления имуществом на примере предприятия</w:t>
      </w:r>
      <w:bookmarkEnd w:id="4"/>
    </w:p>
    <w:p w:rsidR="009C57E9" w:rsidRPr="00885D21" w:rsidRDefault="009C57E9" w:rsidP="00885D21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5" w:name="_Toc71684935"/>
      <w:r w:rsidRPr="00885D21">
        <w:rPr>
          <w:rStyle w:val="10"/>
          <w:rFonts w:ascii="Times New Roman" w:hAnsi="Times New Roman" w:cs="Times New Roman"/>
          <w:b/>
          <w:color w:val="000000" w:themeColor="text1"/>
        </w:rPr>
        <w:t>2.1 Организационно-экономическая характеристика предприятия</w:t>
      </w:r>
      <w:bookmarkEnd w:id="5"/>
    </w:p>
    <w:p w:rsidR="00C739A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Вопрос об организации централизованного электроснабжения потребителей возник в Иркутске в начале ХХ века. И уже в 1916 году на заседании городской думы (протокол № 53) были окончательно утверждены «Правила для абонентов городской электрической станции». До 1943 года сбытом электроэнергии и надзором за потребителями в Иркутске занимались работники, состоящие в штате городской электростанции.</w:t>
      </w:r>
    </w:p>
    <w:p w:rsidR="00C739A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Специальная служба, «Энергосбыт», была создана в 1943 году. Однако в составе ЦЭС этот отдел оставался недолго. В 1945 году Энергосбыт был включён в состав созданного в Иркутске Энергокомбината. Его деятельность регламентировалась утверждённым в 1948 году Положением, где наряду с традиционными задачами появилась новая: технический надзор за состоянием энергохозяйства блокстанций. Положение определило и структуру Энергосбыта: абонентская служба, фабрично-заводская инспекция («Энергонадзор») и лаборатор</w:t>
      </w:r>
      <w:r>
        <w:rPr>
          <w:rFonts w:ascii="Times New Roman" w:hAnsi="Times New Roman" w:cs="Times New Roman"/>
          <w:sz w:val="28"/>
          <w:szCs w:val="28"/>
        </w:rPr>
        <w:t>ия по ремонту электросчетчиков.</w:t>
      </w:r>
    </w:p>
    <w:p w:rsidR="00C739A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 xml:space="preserve">В годы послевоенных пятилеток началась бурная индустриализация Восточной Сибири. Создавались новые предприятия, электрифицировалась железная дорога, возникали новые города и посёлки. </w:t>
      </w:r>
    </w:p>
    <w:p w:rsidR="00C739A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 xml:space="preserve">В дальнейшем, по мере строительства новых городов, промышленных гигантов цветной и черной металлургии, лесной, целлюлозно – бумажной, деревообрабатывающей, нефтехимической, угольной промышленности, электрификации железнодорожного транспорта, сплошной электрификации сельскохозяйственных районов и внедрения электрообогрева,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9A1">
        <w:rPr>
          <w:rFonts w:ascii="Times New Roman" w:hAnsi="Times New Roman" w:cs="Times New Roman"/>
          <w:sz w:val="28"/>
          <w:szCs w:val="28"/>
        </w:rPr>
        <w:t>Само предприятие, в зависимости от возлагаемых задач, несколько раз меняло свое название. С 1980 г. фирма носила название «Предприятие государственного энергетического надзора и сбыта энергии «Энергонадзор» производственного объединения «Иркутскэнерго». Функции государственного энергетического надзора предприятие совмещало до 1998 г</w:t>
      </w:r>
    </w:p>
    <w:p w:rsidR="00C739A1" w:rsidRPr="00C739A1" w:rsidRDefault="00C739A1" w:rsidP="00C739A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1984 г. – Зиминское отделение, которое позже переезжает в Саянск и переименовывается в Саянское отделение;</w:t>
      </w:r>
    </w:p>
    <w:p w:rsidR="00C739A1" w:rsidRPr="00C739A1" w:rsidRDefault="00C739A1" w:rsidP="00C739A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1994 г. – Усть-Илимское и Иркутское отделения. Последнее в 2003 г. реорганизуется в Иркутское и Восточное отделения.</w:t>
      </w:r>
    </w:p>
    <w:p w:rsidR="00C739A1" w:rsidRPr="00C739A1" w:rsidRDefault="00C739A1" w:rsidP="00C739A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 1996 г. предприятие было переименовано в фирму «Энергонадзор» АОЭиЭ «Иркутскэнерго», а в 1998 г., после образования Территориального управления «Иркутскгосэнергонадзор» – в фирму «Энергосбыт» АОЭиЭ «Иркутскэнерго».</w:t>
      </w:r>
    </w:p>
    <w:p w:rsidR="00C739A1" w:rsidRPr="00C739A1" w:rsidRDefault="00C739A1" w:rsidP="00C739A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с 2000 г. фирма «Энергосбыт» являлась филиалом Иркутского открытого акционерного общества энергетики электрификации (ОАО «Иркутскэнерго»).</w:t>
      </w:r>
    </w:p>
    <w:p w:rsidR="00C739A1" w:rsidRPr="00C739A1" w:rsidRDefault="00C739A1" w:rsidP="00C739A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2003 г. – Усольское отделение;</w:t>
      </w:r>
    </w:p>
    <w:p w:rsidR="00C739A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С 11.04.2007 года ООО "Иркутскэнергосбыт" выделено из фирмы «Энергосбыт» ОАО «Иркутскэнерго», компания в новом качестве начала осуществлять свою деятельность как самостоятельная энергосбытовая структура</w:t>
      </w:r>
    </w:p>
    <w:p w:rsidR="00C739A1" w:rsidRPr="00C739A1" w:rsidRDefault="00C739A1" w:rsidP="00C739A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 2011 г. – образование Тайшетского, Мамско-Чуйского, Киренского, Нижнеилимского, Усть-Кутского, Слюдянского отделений;</w:t>
      </w:r>
    </w:p>
    <w:p w:rsidR="00C739A1" w:rsidRPr="00C739A1" w:rsidRDefault="00C739A1" w:rsidP="00C739A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2013 г. – Шелеховское отделение;</w:t>
      </w:r>
    </w:p>
    <w:p w:rsidR="00C739A1" w:rsidRPr="00C739A1" w:rsidRDefault="00C739A1" w:rsidP="00C739A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2014 г. – Иркутское городское отделение (бывш ИГТСК-Иркутская городская теплосбытовая компания-также подразделение Иркутскэнерго)</w:t>
      </w:r>
    </w:p>
    <w:p w:rsidR="00C739A1" w:rsidRPr="00C739A1" w:rsidRDefault="00C739A1" w:rsidP="00C739A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2014 г. вместе с Иркутской энергосистемой компания отметила свой 60-ти летний юбилей, </w:t>
      </w:r>
    </w:p>
    <w:p w:rsidR="00C739A1" w:rsidRPr="00C739A1" w:rsidRDefault="00C739A1" w:rsidP="00C739A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в 2019 г. вместе с Иркутской энергосистемой компания отметила свой 65-ти летний юбилей. </w:t>
      </w:r>
    </w:p>
    <w:p w:rsidR="00885D21" w:rsidRPr="00C739A1" w:rsidRDefault="00C739A1" w:rsidP="00C7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A1">
        <w:rPr>
          <w:rFonts w:ascii="Times New Roman" w:hAnsi="Times New Roman" w:cs="Times New Roman"/>
          <w:sz w:val="28"/>
          <w:szCs w:val="28"/>
        </w:rPr>
        <w:t>Одновременно на основании приказа министра электростанций СССР (№ 54 от 5 июля 1954 года) приказом № 1 по «Иркутскэнерго» от 21 октября 1954 года было создано отдельное предприятие по сбыту энергии и контролю за её использованием – «Энергосбыт» с отделением в Ангарске.</w:t>
      </w:r>
    </w:p>
    <w:p w:rsidR="009C57E9" w:rsidRPr="00C739A1" w:rsidRDefault="009C57E9" w:rsidP="00C739A1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6" w:name="_Toc71684936"/>
      <w:r w:rsidRPr="00C739A1">
        <w:rPr>
          <w:rFonts w:ascii="Times New Roman" w:hAnsi="Times New Roman" w:cs="Times New Roman"/>
          <w:color w:val="000000" w:themeColor="text1"/>
        </w:rPr>
        <w:t>2.2 Анализ управления имуществом предприятия.</w:t>
      </w:r>
      <w:bookmarkEnd w:id="6"/>
    </w:p>
    <w:p w:rsidR="00C96546" w:rsidRPr="00C96546" w:rsidRDefault="00C96546" w:rsidP="00C73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анализ и оценку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имуществом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9A1" w:rsidRP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2017-2019 г. на основании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бухгалтерской отчетности.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динамики статей баланса предприятия за 2017-2019 гг. представлен в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544FC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  <w:r w:rsidR="00C96546"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Анализ динамики статей баланса </w:t>
      </w:r>
      <w:r w:rsidR="00C739A1" w:rsidRPr="00C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 «Иркутскэнерго».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40"/>
        <w:gridCol w:w="1114"/>
        <w:gridCol w:w="1232"/>
        <w:gridCol w:w="1232"/>
        <w:gridCol w:w="1081"/>
        <w:gridCol w:w="1072"/>
      </w:tblGrid>
      <w:tr w:rsidR="00C96546" w:rsidRPr="00C96546" w:rsidTr="00C739A1">
        <w:tc>
          <w:tcPr>
            <w:tcW w:w="4219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2017 год,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2018 год,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2019 год, тыс. руб.</w:t>
            </w:r>
          </w:p>
        </w:tc>
        <w:tc>
          <w:tcPr>
            <w:tcW w:w="1949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Темп прироста, %</w:t>
            </w:r>
          </w:p>
        </w:tc>
      </w:tr>
      <w:tr w:rsidR="00C96546" w:rsidRPr="00C96546" w:rsidTr="00C739A1">
        <w:tc>
          <w:tcPr>
            <w:tcW w:w="4219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2018/2017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2019/2018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ВНЕОБОРОТНЫЕ АКТИВЫ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24056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73131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10450,9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4479540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4721477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5159298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35399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33719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49839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786,3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4526857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4791781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5322054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ОБОРОТНЫЕ АКТИВЫ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925431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1112551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1411936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40682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29379,7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5944781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7975470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8758010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487703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258208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479325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5382594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6361255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6604433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12756138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15707622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17294386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БАЛАНС ПО АКТИВУ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17282995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20499403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22616440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КАПИТАЛ И РЕЗЕРВЫ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1321273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1364392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1363452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5390503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4197184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6289899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6711983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5561783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7653558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ДОЛГОСРОЧНЫЕ ОБЯЗАТЕЛЬСТВА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1588145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3122384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2314268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-25,9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38932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1015,5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1591635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3125874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2535200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-18,9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659774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2401520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2151303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-10,4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8319603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9410226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9957910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500469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8979377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11811746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12609682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96546" w:rsidRPr="00C96546" w:rsidTr="00C739A1">
        <w:tc>
          <w:tcPr>
            <w:tcW w:w="421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БАЛАНС ПО ПАССИВУ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17282995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20499403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22616440</w:t>
            </w:r>
          </w:p>
        </w:tc>
        <w:tc>
          <w:tcPr>
            <w:tcW w:w="108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6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</w:tbl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валюта баланса демонстрировала положительную динамику на протяжении всего периода с 2017 по 2019 год. 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hAnsi="Times New Roman" w:cs="Times New Roman"/>
          <w:color w:val="000000" w:themeColor="text1"/>
          <w:sz w:val="28"/>
          <w:szCs w:val="28"/>
        </w:rPr>
        <w:t>Проведем вертикальный и горизонтальный анализ баланса.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произведем горизонтальный и вертикальный анализ баланса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структуры баланса за 2017 – 2019 гг. представлен в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структуры баланса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</w:p>
    <w:p w:rsidR="00C96546" w:rsidRPr="00C96546" w:rsidRDefault="00C96546" w:rsidP="00C9654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50"/>
        <w:gridCol w:w="1110"/>
        <w:gridCol w:w="1229"/>
        <w:gridCol w:w="1229"/>
        <w:gridCol w:w="1081"/>
        <w:gridCol w:w="1072"/>
      </w:tblGrid>
      <w:tr w:rsidR="00C96546" w:rsidRPr="00C96546" w:rsidTr="00C739A1">
        <w:tc>
          <w:tcPr>
            <w:tcW w:w="4058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58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58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54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C96546" w:rsidRPr="00C96546" w:rsidTr="00C739A1">
        <w:tc>
          <w:tcPr>
            <w:tcW w:w="4058" w:type="dxa"/>
            <w:vMerge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2018/2017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2019/2018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ВНЕОБОРОТНЫЕ АКТИВЫ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0,0013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0,1173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0,3234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0,1160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0,2060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25,9188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23,0323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22,8122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-2,8865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-0,2201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0,2048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0,1491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-0,0362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-0,0195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0,0351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0,0296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0,0268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-0,0055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-0,0028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0,0325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0,0274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0,2204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-0,0051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0,1929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26,1925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23,3752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23,5318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-2,8173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0,1566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ОБОРОТНЫЕ АКТИВЫ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5,3546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5,4272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6,2430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0,0727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0,8157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0,1799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-0,0272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0,1792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34,3967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38,9059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38,7241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4,5092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-0,1818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-0,0625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2,8219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1,2596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2,1194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-1,5623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0,8598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31,1439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31,0314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29,2019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-0,1125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-1,8295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73,8075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76,6248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76,4682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2,8173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-0,1566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БАЛАНС ПО АКТИВУ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КАПИТАЛ И РЕЗЕРВЫ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-0,0001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-0,0001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7,6449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6,6558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6,0286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-0,9892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-0,6272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0,0003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31,1896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20,4747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27,8112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-10,7150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7,3365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38,8358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27,1314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33,8407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-11,7043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6,7092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ДОЛГОСРОЧНЫЕ ОБЯЗАТЕЛЬСТВА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9,1891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15,2316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10,2327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6,0425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-4,9989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0,0202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0,0170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0,1721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-0,0032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0,1551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9,2093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15,2486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11,2095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6,0394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-4,0391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3,8175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11,7151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9,5121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7,8976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-2,2030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48,1375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45,9049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44,0295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-2,2326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-1,8754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2,2129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2,2129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51,9550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57,6200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55,7545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5,6650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-1,8655</w:t>
            </w:r>
          </w:p>
        </w:tc>
      </w:tr>
      <w:tr w:rsidR="00C96546" w:rsidRPr="00C96546" w:rsidTr="00C739A1">
        <w:tc>
          <w:tcPr>
            <w:tcW w:w="4058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</w:rPr>
              <w:t>БАЛАНС ПО ПАССИВУ</w:t>
            </w:r>
          </w:p>
        </w:tc>
        <w:tc>
          <w:tcPr>
            <w:tcW w:w="112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25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10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данные о структуре активов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внеоборотных активов и оборотных активов можно назвать оптимальным, так внеоборотные активы в 2017 г. составляют 26,19%, а оборотные 73,81%, в 2019 г. – 23,53% и 76,47% соответственно.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6">
        <w:rPr>
          <w:noProof/>
          <w:lang w:eastAsia="ru-RU"/>
        </w:rPr>
        <w:drawing>
          <wp:inline distT="0" distB="0" distL="0" distR="0" wp14:anchorId="0D7E4884" wp14:editId="40B0B8C9">
            <wp:extent cx="5699052" cy="2509284"/>
            <wp:effectExtent l="0" t="0" r="16510" b="2476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7A7B683-FFCC-4048-950A-21C761B20D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4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976CC">
        <w:rPr>
          <w:rFonts w:ascii="Times New Roman" w:hAnsi="Times New Roman" w:cs="Times New Roman"/>
          <w:sz w:val="28"/>
          <w:szCs w:val="28"/>
        </w:rPr>
        <w:t>3</w:t>
      </w:r>
      <w:r w:rsidRPr="00C96546">
        <w:rPr>
          <w:rFonts w:ascii="Times New Roman" w:hAnsi="Times New Roman" w:cs="Times New Roman"/>
          <w:sz w:val="28"/>
          <w:szCs w:val="28"/>
        </w:rPr>
        <w:t xml:space="preserve">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6546">
        <w:rPr>
          <w:rFonts w:ascii="Times New Roman" w:hAnsi="Times New Roman" w:cs="Times New Roman"/>
          <w:sz w:val="28"/>
          <w:szCs w:val="28"/>
        </w:rPr>
        <w:t xml:space="preserve"> 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активов </w:t>
      </w:r>
      <w:r w:rsidR="00C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 «Иркутскэнерго»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оборотного капитала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преобладает дебиторская задолженность, которая имеет тенденцию к росту - в 2017 г. она составила 34,40%, в 2019 г. – 38,72%.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данные о структуре пассивов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noProof/>
          <w:lang w:eastAsia="ru-RU"/>
        </w:rPr>
        <w:drawing>
          <wp:inline distT="0" distB="0" distL="0" distR="0" wp14:anchorId="69B030FC" wp14:editId="275414E1">
            <wp:extent cx="5613991" cy="2402958"/>
            <wp:effectExtent l="0" t="0" r="25400" b="165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DEBC8F9-874E-4D26-9A26-24D2ED9879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654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6546">
        <w:rPr>
          <w:rFonts w:ascii="Times New Roman" w:hAnsi="Times New Roman" w:cs="Times New Roman"/>
          <w:sz w:val="28"/>
          <w:szCs w:val="28"/>
        </w:rPr>
        <w:t xml:space="preserve">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пассивов </w:t>
      </w:r>
      <w:r w:rsidR="00C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 «Иркутскэнерго»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доля собственного капитала в компании составила 38,84%, в том числе в 2019 г. - – 33,84%. Обязательства компании представлены долгосрочными и краткосрочными кредитами, торговой кредиторской задолженностью.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банковских кредитов в структуре долгового капитала может указывать на зависимость компании от внешних источников финансирования.</w:t>
      </w:r>
    </w:p>
    <w:p w:rsidR="00BE7929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краткосрочного заемного капитала доминирует торговая кредиторская задолженность, которая демонстрирует высокие темпы роста. По сравнению с кредитами и займами, которые сократились в 2019 году, это более дешевый источник средств. Это положительный момент для компании, так как ее затраты в связи с обслуживани</w:t>
      </w:r>
      <w:r w:rsid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кредитов и облигаций падают.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структура обязательств </w:t>
      </w:r>
      <w:r w:rsidR="00BE7929" w:rsidRP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«Иркутскэнерго»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Оценим финансовые результаты компании за 2017-2019 гг. в табл.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Оценка финансовых результатов деятельности </w:t>
      </w:r>
      <w:r w:rsidR="00C739A1" w:rsidRP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«Иркутскэнерго».</w:t>
      </w:r>
    </w:p>
    <w:tbl>
      <w:tblPr>
        <w:tblStyle w:val="af"/>
        <w:tblW w:w="9965" w:type="dxa"/>
        <w:tblLook w:val="04A0" w:firstRow="1" w:lastRow="0" w:firstColumn="1" w:lastColumn="0" w:noHBand="0" w:noVBand="1"/>
      </w:tblPr>
      <w:tblGrid>
        <w:gridCol w:w="3510"/>
        <w:gridCol w:w="1418"/>
        <w:gridCol w:w="1245"/>
        <w:gridCol w:w="1306"/>
        <w:gridCol w:w="1243"/>
        <w:gridCol w:w="1243"/>
      </w:tblGrid>
      <w:tr w:rsidR="00C96546" w:rsidRPr="00C96546" w:rsidTr="00C739A1">
        <w:tc>
          <w:tcPr>
            <w:tcW w:w="3510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2017 год, тыс. руб.</w:t>
            </w:r>
          </w:p>
        </w:tc>
        <w:tc>
          <w:tcPr>
            <w:tcW w:w="1245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 год, тыс. руб.</w:t>
            </w:r>
          </w:p>
        </w:tc>
        <w:tc>
          <w:tcPr>
            <w:tcW w:w="130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2486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Индекс роста</w:t>
            </w:r>
          </w:p>
        </w:tc>
      </w:tr>
      <w:tr w:rsidR="00C96546" w:rsidRPr="00C96546" w:rsidTr="00C739A1">
        <w:tc>
          <w:tcPr>
            <w:tcW w:w="3510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2018/2017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2019/2018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66675256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81294558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88480195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1,219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1,088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59403716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75869359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81363570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1,072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7271540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5425199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7116625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1,312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3245326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404248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1442947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3,569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3644779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415396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2620142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6,308</w:t>
            </w:r>
          </w:p>
        </w:tc>
      </w:tr>
      <w:tr w:rsidR="00C96546" w:rsidRPr="00C96546" w:rsidTr="00C739A1">
        <w:tc>
          <w:tcPr>
            <w:tcW w:w="3510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3235296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385924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2091775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5,420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от продаж выросла в 2018 г. по сравнению с 2017 г. с 66675 млн. руб. до 81295 млн. руб., а в 2019 г. по сравнению с 2018 г. до 88480 млн. руб.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Себестоимость продаж в 2018 г. по сравнению с 2017 г. выросла с 59404 млн. руб., до 75869 млн. руб., а в 2019 г. – до 81364 млн. руб.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Опережающий коэффициент роста себестоимости над коэффициентом роста выручки в 2018 году привел к снижению валовой прибыли с 7272 млн. руб. до 5425 млн. руб. В 2019 году наоборот, прирост выручки опережал рост себестоимости, вследствие чего прибыль от продаж возросла в 1,312 раза.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по сравнению с 2017 годом все виды прибыли сократились. В 2019 году имел место резкий рост прибыли: от продаж – в 3,569 раза, до налогообложения – в 6,308 раз, чистая – в 5,42 раза.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данные о финансовых результатах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noProof/>
          <w:lang w:eastAsia="ru-RU"/>
        </w:rPr>
        <w:drawing>
          <wp:inline distT="0" distB="0" distL="0" distR="0" wp14:anchorId="3227D051" wp14:editId="3C6F8805">
            <wp:extent cx="5734050" cy="4152900"/>
            <wp:effectExtent l="0" t="0" r="19050" b="1905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8ECE4638-19BA-437E-BFCF-3E002487B1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Динамика показателей прибыли</w:t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73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прибыль в 2017 году составляла 3235 млн. руб., в 2018 году значительно сократилась до 386 млн. руб., а в 2019 году чистая прибыль возросла до 2092 млн.  руб. В целом за период 2017 – 2019 гг. эффективность деятельности снизилась.</w:t>
      </w:r>
    </w:p>
    <w:p w:rsidR="00C96546" w:rsidRPr="00C96546" w:rsidRDefault="00C739A1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а</w:t>
      </w:r>
      <w:r w:rsidR="00C96546"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платежеспособности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«Иркутскэнерго»,</w:t>
      </w:r>
      <w:r w:rsidR="00C96546"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C96546"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6546"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CC" w:rsidRPr="00C96546" w:rsidRDefault="004976CC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</m:oMath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анализ платежеспособности предприятия</w:t>
      </w:r>
    </w:p>
    <w:tbl>
      <w:tblPr>
        <w:tblStyle w:val="af"/>
        <w:tblW w:w="9914" w:type="dxa"/>
        <w:tblLook w:val="04A0" w:firstRow="1" w:lastRow="0" w:firstColumn="1" w:lastColumn="0" w:noHBand="0" w:noVBand="1"/>
      </w:tblPr>
      <w:tblGrid>
        <w:gridCol w:w="3620"/>
        <w:gridCol w:w="1591"/>
        <w:gridCol w:w="735"/>
        <w:gridCol w:w="696"/>
        <w:gridCol w:w="786"/>
        <w:gridCol w:w="1243"/>
        <w:gridCol w:w="1243"/>
      </w:tblGrid>
      <w:tr w:rsidR="00C96546" w:rsidRPr="00C96546" w:rsidTr="00C739A1">
        <w:tc>
          <w:tcPr>
            <w:tcW w:w="3620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1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735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9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8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6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96546" w:rsidRPr="00C96546" w:rsidTr="00C739A1">
        <w:tc>
          <w:tcPr>
            <w:tcW w:w="3620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2018/2017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2019/2018</w:t>
            </w:r>
          </w:p>
        </w:tc>
      </w:tr>
      <w:tr w:rsidR="00C96546" w:rsidRPr="00C96546" w:rsidTr="00C739A1">
        <w:tc>
          <w:tcPr>
            <w:tcW w:w="3620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(Оборотные средства/Краткосрочные обязательства)</w:t>
            </w:r>
          </w:p>
        </w:tc>
        <w:tc>
          <w:tcPr>
            <w:tcW w:w="1591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</w:p>
        </w:tc>
        <w:tc>
          <w:tcPr>
            <w:tcW w:w="73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69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78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-0,09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C96546" w:rsidRPr="00C96546" w:rsidTr="00C739A1">
        <w:tc>
          <w:tcPr>
            <w:tcW w:w="3620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Коэффициент критической ликвидности (Оборотные средства – Запасы/Краткосрочные обязательства)</w:t>
            </w:r>
          </w:p>
        </w:tc>
        <w:tc>
          <w:tcPr>
            <w:tcW w:w="1591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</w:t>
            </w:r>
          </w:p>
        </w:tc>
        <w:tc>
          <w:tcPr>
            <w:tcW w:w="73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69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78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-0,08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96546" w:rsidRPr="00C96546" w:rsidTr="00C739A1">
        <w:tc>
          <w:tcPr>
            <w:tcW w:w="3620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(Денежные средства + краткосрочные финансовые вложения/Краткосрочные обязательства)</w:t>
            </w:r>
          </w:p>
        </w:tc>
        <w:tc>
          <w:tcPr>
            <w:tcW w:w="1591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69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8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-0,03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ликвидности в целом отражают возможность компании погасить свои текущие обязательства за счет различных источников в оборотных активах – это и лежит в основе классификации коэффициентов. Коэффициент текущей ликвидности отражает способность организации погасить текущие обязательства за счет всех оборотных активов, за исключением НДС и дебиторской задолженности сроком до 12 месяцев.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Критические данные коэффициента ликвидности компании </w:t>
      </w:r>
      <w:r w:rsidR="00BE7929" w:rsidRP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стандарту. Данный факт свидетельствует о приемлемой платежеспособности компании в 2013 году, однако ее снижение за период может привести к ухудшению ликвидности. Коэффициент абсолютной ликвидности ниже рекомендованных значений, что означает, что компания все еще не в состоянии досрочно погасить свои краткосрочные обязательства на данном этапе. На основе общей оценки платежеспособности и ликвидности компании можно сделать вывод об общей тенденции снижения финансовых показателей </w:t>
      </w:r>
      <w:r w:rsidR="00BE7929" w:rsidRP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«Иркутскэнерго»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анализируемый период, как следствие ухудшения ликвидности организации.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компания по-прежнему в состоянии выполнять свои самые срочные обязательства, но доказанная нехватка ресурсов растет.</w:t>
      </w:r>
    </w:p>
    <w:p w:rsidR="00C739A1" w:rsidRDefault="00C96546" w:rsidP="00C739A1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7" w:name="_Toc70591392"/>
      <w:bookmarkStart w:id="8" w:name="_Toc70592059"/>
      <w:bookmarkStart w:id="9" w:name="_Toc71684937"/>
      <w:r w:rsidRPr="00C9654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Проведем оценку и анализ финансовой устойчивости </w:t>
      </w:r>
      <w:bookmarkEnd w:id="7"/>
      <w:bookmarkEnd w:id="8"/>
      <w:r w:rsidR="00C739A1" w:rsidRPr="00C739A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ПАО «Иркутскэнерго».</w:t>
      </w:r>
      <w:bookmarkEnd w:id="9"/>
    </w:p>
    <w:p w:rsidR="00C96546" w:rsidRPr="00C96546" w:rsidRDefault="00C96546" w:rsidP="00C739A1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Toc71684938"/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Оценим финансовую устойчивость </w:t>
      </w:r>
      <w:r w:rsid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омпании </w:t>
      </w:r>
      <w:r w:rsidR="00C739A1" w:rsidRP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«Иркутскэнерго».</w:t>
      </w:r>
      <w:bookmarkEnd w:id="10"/>
    </w:p>
    <w:p w:rsidR="00C96546" w:rsidRPr="00C96546" w:rsidRDefault="00C9654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</w:t>
      </w:r>
      <w:r w:rsidR="00B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финансовой устойчивости 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 </w:t>
      </w:r>
      <w:r w:rsidR="00C739A1" w:rsidRP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«Иркутскэнерго».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типа финансовой устойчивости компании составим таблицу соответствия типам финансовой устойчивости (табл.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</w:t>
      </w:r>
    </w:p>
    <w:p w:rsidR="00C96546" w:rsidRPr="00C96546" w:rsidRDefault="004976CC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54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96546"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Сводная таблица показателей по типам финансовых ситуаций.</w:t>
      </w:r>
    </w:p>
    <w:tbl>
      <w:tblPr>
        <w:tblStyle w:val="af"/>
        <w:tblW w:w="0" w:type="auto"/>
        <w:tblInd w:w="-1111" w:type="dxa"/>
        <w:tblLook w:val="04A0" w:firstRow="1" w:lastRow="0" w:firstColumn="1" w:lastColumn="0" w:noHBand="0" w:noVBand="1"/>
      </w:tblPr>
      <w:tblGrid>
        <w:gridCol w:w="2825"/>
        <w:gridCol w:w="1964"/>
        <w:gridCol w:w="1964"/>
        <w:gridCol w:w="1965"/>
        <w:gridCol w:w="1964"/>
      </w:tblGrid>
      <w:tr w:rsidR="00C96546" w:rsidRPr="00C96546" w:rsidTr="00C739A1">
        <w:tc>
          <w:tcPr>
            <w:tcW w:w="2855" w:type="dxa"/>
            <w:vMerge w:val="restart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884" w:type="dxa"/>
            <w:gridSpan w:val="4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финансовой ситуации</w:t>
            </w:r>
          </w:p>
        </w:tc>
      </w:tr>
      <w:tr w:rsidR="00C96546" w:rsidRPr="00C96546" w:rsidTr="00C739A1">
        <w:tc>
          <w:tcPr>
            <w:tcW w:w="2855" w:type="dxa"/>
            <w:vMerge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устойчивость</w:t>
            </w:r>
          </w:p>
        </w:tc>
        <w:tc>
          <w:tcPr>
            <w:tcW w:w="1971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устойчивость</w:t>
            </w:r>
          </w:p>
        </w:tc>
        <w:tc>
          <w:tcPr>
            <w:tcW w:w="1971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Неустойчивое положение</w:t>
            </w:r>
          </w:p>
        </w:tc>
        <w:tc>
          <w:tcPr>
            <w:tcW w:w="1971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Кризисная устойчивость</w:t>
            </w:r>
          </w:p>
        </w:tc>
      </w:tr>
      <w:tr w:rsidR="00C96546" w:rsidRPr="00C96546" w:rsidTr="00C739A1">
        <w:tc>
          <w:tcPr>
            <w:tcW w:w="2855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=СОС-З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</w:tr>
      <w:tr w:rsidR="00C96546" w:rsidRPr="00C96546" w:rsidTr="00C739A1">
        <w:tc>
          <w:tcPr>
            <w:tcW w:w="2855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=КФ-З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</w:tr>
      <w:tr w:rsidR="00C96546" w:rsidRPr="00C96546" w:rsidTr="00C739A1">
        <w:tc>
          <w:tcPr>
            <w:tcW w:w="2855" w:type="dxa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о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=ВИ-З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о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о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о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&gt;0</m:t>
                </m:r>
              </m:oMath>
            </m:oMathPara>
          </w:p>
        </w:tc>
        <w:tc>
          <w:tcPr>
            <w:tcW w:w="1971" w:type="dxa"/>
          </w:tcPr>
          <w:p w:rsidR="00C96546" w:rsidRPr="00C96546" w:rsidRDefault="005570D9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о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&lt;0</m:t>
                </m:r>
              </m:oMath>
            </m:oMathPara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Проанализируем отчетность по указанной методике в таблице </w:t>
      </w:r>
      <w:r w:rsidR="0054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54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Исходные данные для анализа финансовой устойчивости</w:t>
      </w:r>
    </w:p>
    <w:tbl>
      <w:tblPr>
        <w:tblStyle w:val="af"/>
        <w:tblW w:w="10507" w:type="dxa"/>
        <w:tblInd w:w="-721" w:type="dxa"/>
        <w:tblLook w:val="04A0" w:firstRow="1" w:lastRow="0" w:firstColumn="1" w:lastColumn="0" w:noHBand="0" w:noVBand="1"/>
      </w:tblPr>
      <w:tblGrid>
        <w:gridCol w:w="3416"/>
        <w:gridCol w:w="1451"/>
        <w:gridCol w:w="1303"/>
        <w:gridCol w:w="1355"/>
        <w:gridCol w:w="1491"/>
        <w:gridCol w:w="1491"/>
      </w:tblGrid>
      <w:tr w:rsidR="00C96546" w:rsidRPr="00C96546" w:rsidTr="00C739A1">
        <w:trPr>
          <w:trHeight w:val="325"/>
        </w:trPr>
        <w:tc>
          <w:tcPr>
            <w:tcW w:w="3416" w:type="dxa"/>
            <w:vMerge w:val="restart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2017 год, тыс. руб.</w:t>
            </w:r>
          </w:p>
        </w:tc>
        <w:tc>
          <w:tcPr>
            <w:tcW w:w="1303" w:type="dxa"/>
            <w:vMerge w:val="restart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 год, тыс. руб.</w:t>
            </w:r>
          </w:p>
        </w:tc>
        <w:tc>
          <w:tcPr>
            <w:tcW w:w="1355" w:type="dxa"/>
            <w:vMerge w:val="restart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2982" w:type="dxa"/>
            <w:gridSpan w:val="2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C96546" w:rsidRPr="00C96546" w:rsidTr="00C739A1">
        <w:trPr>
          <w:trHeight w:val="149"/>
        </w:trPr>
        <w:tc>
          <w:tcPr>
            <w:tcW w:w="3416" w:type="dxa"/>
            <w:vMerge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2018/2017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2019/2018</w:t>
            </w:r>
          </w:p>
        </w:tc>
      </w:tr>
      <w:tr w:rsidR="00C96546" w:rsidRPr="00C96546" w:rsidTr="00C739A1">
        <w:trPr>
          <w:trHeight w:val="325"/>
        </w:trPr>
        <w:tc>
          <w:tcPr>
            <w:tcW w:w="3416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5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925431</w:t>
            </w:r>
          </w:p>
        </w:tc>
        <w:tc>
          <w:tcPr>
            <w:tcW w:w="1303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1112551</w:t>
            </w:r>
          </w:p>
        </w:tc>
        <w:tc>
          <w:tcPr>
            <w:tcW w:w="1355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1411936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C96546" w:rsidRPr="00C96546" w:rsidTr="00C739A1">
        <w:trPr>
          <w:trHeight w:val="341"/>
        </w:trPr>
        <w:tc>
          <w:tcPr>
            <w:tcW w:w="3416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45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4526857</w:t>
            </w:r>
          </w:p>
        </w:tc>
        <w:tc>
          <w:tcPr>
            <w:tcW w:w="1303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4791781</w:t>
            </w:r>
          </w:p>
        </w:tc>
        <w:tc>
          <w:tcPr>
            <w:tcW w:w="1355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5322054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C96546" w:rsidRPr="00C96546" w:rsidTr="00C739A1">
        <w:trPr>
          <w:trHeight w:val="310"/>
        </w:trPr>
        <w:tc>
          <w:tcPr>
            <w:tcW w:w="3416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45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6711983</w:t>
            </w:r>
          </w:p>
        </w:tc>
        <w:tc>
          <w:tcPr>
            <w:tcW w:w="1303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5561783</w:t>
            </w:r>
          </w:p>
        </w:tc>
        <w:tc>
          <w:tcPr>
            <w:tcW w:w="1355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7653558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-17,1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C96546" w:rsidRPr="00C96546" w:rsidTr="00C739A1">
        <w:trPr>
          <w:trHeight w:val="650"/>
        </w:trPr>
        <w:tc>
          <w:tcPr>
            <w:tcW w:w="3416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45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1591635</w:t>
            </w:r>
          </w:p>
        </w:tc>
        <w:tc>
          <w:tcPr>
            <w:tcW w:w="1303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3125874</w:t>
            </w:r>
          </w:p>
        </w:tc>
        <w:tc>
          <w:tcPr>
            <w:tcW w:w="1355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2535200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-18,9</w:t>
            </w:r>
          </w:p>
        </w:tc>
      </w:tr>
      <w:tr w:rsidR="00C96546" w:rsidRPr="00C96546" w:rsidTr="00C739A1">
        <w:trPr>
          <w:trHeight w:val="341"/>
        </w:trPr>
        <w:tc>
          <w:tcPr>
            <w:tcW w:w="3416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45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659774</w:t>
            </w:r>
          </w:p>
        </w:tc>
        <w:tc>
          <w:tcPr>
            <w:tcW w:w="1303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2401520</w:t>
            </w:r>
          </w:p>
        </w:tc>
        <w:tc>
          <w:tcPr>
            <w:tcW w:w="1355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2151303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91" w:type="dxa"/>
            <w:vAlign w:val="center"/>
          </w:tcPr>
          <w:p w:rsidR="00C96546" w:rsidRPr="00C96546" w:rsidRDefault="00C96546" w:rsidP="00C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-10,4</w:t>
            </w:r>
          </w:p>
        </w:tc>
      </w:tr>
    </w:tbl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типа финансовой устойчивости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в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C6" w:rsidRDefault="00544FC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CC" w:rsidRDefault="004976CC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CC" w:rsidRDefault="004976CC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CC" w:rsidRDefault="004976CC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типа финансовой устойчивости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2797"/>
        <w:gridCol w:w="1385"/>
        <w:gridCol w:w="1336"/>
        <w:gridCol w:w="1336"/>
        <w:gridCol w:w="1414"/>
        <w:gridCol w:w="1414"/>
      </w:tblGrid>
      <w:tr w:rsidR="00C96546" w:rsidRPr="00C96546" w:rsidTr="00C739A1">
        <w:tc>
          <w:tcPr>
            <w:tcW w:w="3227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2017 год, тыс. руб.</w:t>
            </w:r>
          </w:p>
        </w:tc>
        <w:tc>
          <w:tcPr>
            <w:tcW w:w="1245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2018 год, тыс. руб.</w:t>
            </w:r>
          </w:p>
        </w:tc>
        <w:tc>
          <w:tcPr>
            <w:tcW w:w="1306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2486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Отклонение, тыс. руб.</w:t>
            </w:r>
          </w:p>
        </w:tc>
      </w:tr>
      <w:tr w:rsidR="00C96546" w:rsidRPr="00C96546" w:rsidTr="00C739A1">
        <w:tc>
          <w:tcPr>
            <w:tcW w:w="3227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2018/2017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2019/2018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оборотных средств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2185126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2331504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-1415124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1561502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и долгосрочных средств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3776761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3895876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4866704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119115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970828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Общая величина основных источников формирования запасов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12756138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15707622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17476386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2951484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1768764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Обеспеченность запасов собственными источниками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1259695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-342549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919568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-1602244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1262117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Обеспеченность запасов собственными и долгосрочными заемными средствами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2851330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2783325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3454768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-68005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671443</w:t>
            </w:r>
          </w:p>
        </w:tc>
      </w:tr>
      <w:tr w:rsidR="00C96546" w:rsidRPr="00C96546" w:rsidTr="00C739A1">
        <w:tc>
          <w:tcPr>
            <w:tcW w:w="3227" w:type="dxa"/>
            <w:vAlign w:val="center"/>
          </w:tcPr>
          <w:p w:rsidR="00C96546" w:rsidRPr="00C96546" w:rsidRDefault="00C96546" w:rsidP="00C9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sz w:val="28"/>
                <w:szCs w:val="28"/>
              </w:rPr>
              <w:t>Обеспеченность запасов общими источниками</w:t>
            </w:r>
          </w:p>
        </w:tc>
        <w:tc>
          <w:tcPr>
            <w:tcW w:w="1418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11830707</w:t>
            </w:r>
          </w:p>
        </w:tc>
        <w:tc>
          <w:tcPr>
            <w:tcW w:w="1245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14595071</w:t>
            </w:r>
          </w:p>
        </w:tc>
        <w:tc>
          <w:tcPr>
            <w:tcW w:w="130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16064450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2764364</w:t>
            </w:r>
          </w:p>
        </w:tc>
        <w:tc>
          <w:tcPr>
            <w:tcW w:w="1243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1469379</w:t>
            </w:r>
          </w:p>
        </w:tc>
      </w:tr>
    </w:tbl>
    <w:p w:rsidR="00C96546" w:rsidRPr="00C96546" w:rsidRDefault="00C96546" w:rsidP="00C965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тип финансовой устойчивости предприятия.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2017 год: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с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&gt;0;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&gt;0;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о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&gt;0</m:t>
        </m:r>
      </m:oMath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абсолютная финансовая устойчивость.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2018 год: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с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&lt;0;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&gt;0;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о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&gt;0</m:t>
        </m:r>
      </m:oMath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нормальная финансовая устойчивость.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с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&gt;0;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&gt;0;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о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&gt;0</m:t>
        </m:r>
      </m:oMath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абсолютная финансовая устойчивость.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2017г. и 2019г. предприятие находится в состоянии абсолютной ликвидности и может полностью обеспечить запасы. В 2018 году устойчивость нарушалась и была нормальной.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структурные характеристики финансовых ресурсов предприятия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Структурные характеристики финансовых ресурсов (пассивов)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9"/>
        <w:gridCol w:w="1536"/>
        <w:gridCol w:w="1537"/>
        <w:gridCol w:w="1537"/>
        <w:gridCol w:w="1596"/>
        <w:gridCol w:w="1596"/>
      </w:tblGrid>
      <w:tr w:rsidR="00C96546" w:rsidRPr="00C96546" w:rsidTr="00C739A1">
        <w:tc>
          <w:tcPr>
            <w:tcW w:w="1769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9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9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09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58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C96546" w:rsidRPr="00C96546" w:rsidTr="00C739A1">
        <w:tc>
          <w:tcPr>
            <w:tcW w:w="1769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2019/2018</w:t>
            </w:r>
          </w:p>
        </w:tc>
      </w:tr>
      <w:tr w:rsidR="00C96546" w:rsidRPr="00C96546" w:rsidTr="00C739A1">
        <w:tc>
          <w:tcPr>
            <w:tcW w:w="176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автономии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-0,117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</w:tr>
      <w:tr w:rsidR="00C96546" w:rsidRPr="00C96546" w:rsidTr="00C739A1">
        <w:tc>
          <w:tcPr>
            <w:tcW w:w="176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перманентного капитала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-0,057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C96546" w:rsidRPr="00C96546" w:rsidTr="00C739A1">
        <w:tc>
          <w:tcPr>
            <w:tcW w:w="176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текущей задолженности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0,576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</w:t>
            </w:r>
          </w:p>
        </w:tc>
      </w:tr>
      <w:tr w:rsidR="00C96546" w:rsidRPr="00C96546" w:rsidTr="00C739A1">
        <w:tc>
          <w:tcPr>
            <w:tcW w:w="1769" w:type="dxa"/>
            <w:vAlign w:val="center"/>
          </w:tcPr>
          <w:p w:rsidR="00C96546" w:rsidRPr="00C96546" w:rsidRDefault="00C96546" w:rsidP="00C96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банковских заимствований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  <w:tc>
          <w:tcPr>
            <w:tcW w:w="160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29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-0,072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автономии (коэффициент финансирования) характеризует долю собственного капитала во всем объеме капитала предприятия. Нормальное минимальное коэффициента оценивается на уровне 0,5. На предприятии собственный капитал в 2017 г. занимал около 38,8%, в 2018 г. также около 27,1%, в 2019 году – 33,8% в финансовом капитале предприятия. Это не соответствует нормативу.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перманентного капитала характеризует долю собственного и долгового капитала в общем объеме капитала. На предприятии в общем объеме капитала собственный и долговой капитал в 2017 г. занимал 48,0%, в 2019 г. 45,1%. В динамике уровень перманентного капитала стабилен и это положительный момент, так как стабильна финансовая устойчивость предприятия.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краткосрочных обязательств в финансовых ресурсах предприятия возросла за период с 52,0% до 55,8% при рекомендуемом значении 10-20%, следовательно, зависимость предприятия от заемных средств возросла.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банковских заимствований в валюте баланса умеренна, однако имеет тенденцию к снижению в 2019 г. по сравнению с 2018 годом с 0,269 до 0,197. В целом анализ структурных характеристик пассивов говорит о достаточной финансовой устойчивости предприятия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Проведем анализ структуры расходов предприятия.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анализ соотношения дебиторской и кредиторской задолженности предприятия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54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Анализ соотношения дебиторской и кредиторской задолженности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22"/>
        <w:gridCol w:w="1102"/>
        <w:gridCol w:w="1102"/>
        <w:gridCol w:w="1102"/>
        <w:gridCol w:w="1273"/>
        <w:gridCol w:w="1370"/>
      </w:tblGrid>
      <w:tr w:rsidR="00C96546" w:rsidRPr="00C96546" w:rsidTr="00C739A1">
        <w:tc>
          <w:tcPr>
            <w:tcW w:w="379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8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C96546" w:rsidRPr="00C96546" w:rsidTr="00C739A1">
        <w:tc>
          <w:tcPr>
            <w:tcW w:w="379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2019/2018</w:t>
            </w:r>
          </w:p>
        </w:tc>
      </w:tr>
      <w:tr w:rsidR="00C96546" w:rsidRPr="00C96546" w:rsidTr="00C739A1">
        <w:tc>
          <w:tcPr>
            <w:tcW w:w="3794" w:type="dxa"/>
            <w:vAlign w:val="center"/>
          </w:tcPr>
          <w:p w:rsidR="00C96546" w:rsidRPr="00C9654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дебиторской и кредиторской задолженности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0,715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0,848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</w:tbl>
    <w:p w:rsidR="00C96546" w:rsidRPr="00C96546" w:rsidRDefault="00C96546" w:rsidP="00C96546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Представим полученные данные графически на рисунке </w:t>
      </w:r>
      <w:r w:rsidR="0049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noProof/>
          <w:color w:val="000000" w:themeColor="text1"/>
          <w:lang w:eastAsia="ru-RU"/>
        </w:rPr>
        <w:drawing>
          <wp:inline distT="0" distB="0" distL="0" distR="0" wp14:anchorId="6EBB9044" wp14:editId="2C9A75D1">
            <wp:extent cx="5327374" cy="2751151"/>
            <wp:effectExtent l="0" t="0" r="26035" b="1143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C105671-E2E8-4B9C-867E-93922E18F3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 w:rsidR="0049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</m:oMath>
      <w:r w:rsidRPr="00C9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Соотношение дебиторской и кредиторской задолженности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показатель, как соотношение дебиторской и кредиторской задолженности, показывает, сколько долгов перед рассматриваемой организацией имеется на рубль кредиторской задолженности.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дебиторской и кредиторской задолженности является признаком финансовой устойчивости компании и эффективности финансового менеджмента. Предполагается, что сумма дебиторской и кредиторской задолженности должна быть сопоставимой, т.е. ее стоимость должна быть приблизительно равна единице.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на дебиторскую задолженность приходилось 71,5% торговой кредиторской задолженности, а в 2018 году - 71,5%. - 84,8% в 2019 году - 88,0% в 2019 году. Это свидетельствует о том, что в обороте компании наблюдается недостаток денежных средств, что связано с необходимостью поиска дополнительных источников финансирования.</w:t>
      </w:r>
    </w:p>
    <w:p w:rsidR="00C96546" w:rsidRPr="00C96546" w:rsidRDefault="00C96546" w:rsidP="00C9654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1" w:name="_Toc70591393"/>
      <w:bookmarkStart w:id="12" w:name="_Toc70592060"/>
      <w:bookmarkStart w:id="13" w:name="_Toc71684939"/>
      <w:r w:rsidRPr="00C96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Проведем анализ рентабельности оборачиваемости собственного и заемного капитала.</w:t>
      </w:r>
      <w:bookmarkEnd w:id="11"/>
      <w:bookmarkEnd w:id="12"/>
      <w:bookmarkEnd w:id="13"/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показатели рентабельности и оборачиваемости собственного и заемного капитала. Результаты расчетов представлены в таблице 1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Показатели рентабельности и оборачиваемости собственного и заемного капитала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0"/>
        <w:gridCol w:w="1096"/>
        <w:gridCol w:w="1096"/>
        <w:gridCol w:w="1096"/>
        <w:gridCol w:w="1273"/>
        <w:gridCol w:w="1370"/>
      </w:tblGrid>
      <w:tr w:rsidR="00C96546" w:rsidRPr="00C96546" w:rsidTr="00C739A1">
        <w:tc>
          <w:tcPr>
            <w:tcW w:w="379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8" w:type="dxa"/>
            <w:gridSpan w:val="2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C96546" w:rsidRPr="00C96546" w:rsidTr="00C739A1">
        <w:tc>
          <w:tcPr>
            <w:tcW w:w="379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2019/2018</w:t>
            </w:r>
          </w:p>
        </w:tc>
      </w:tr>
      <w:tr w:rsidR="00C96546" w:rsidRPr="00C96546" w:rsidTr="00C739A1">
        <w:tc>
          <w:tcPr>
            <w:tcW w:w="3794" w:type="dxa"/>
            <w:vAlign w:val="center"/>
          </w:tcPr>
          <w:p w:rsidR="00C96546" w:rsidRPr="00C9654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-50,2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C96546" w:rsidRPr="00C96546" w:rsidTr="00C739A1">
        <w:tc>
          <w:tcPr>
            <w:tcW w:w="3794" w:type="dxa"/>
            <w:vAlign w:val="center"/>
          </w:tcPr>
          <w:p w:rsidR="00C96546" w:rsidRPr="00C9654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заемного капитала, %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-30,3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96546" w:rsidRPr="00C96546" w:rsidTr="00C739A1">
        <w:tc>
          <w:tcPr>
            <w:tcW w:w="3794" w:type="dxa"/>
            <w:vAlign w:val="center"/>
          </w:tcPr>
          <w:p w:rsidR="00C96546" w:rsidRPr="00C9654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Оборачиваемость собственного капитала, обороты 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96546" w:rsidRPr="00C96546" w:rsidTr="00C739A1">
        <w:tc>
          <w:tcPr>
            <w:tcW w:w="3794" w:type="dxa"/>
            <w:vAlign w:val="center"/>
          </w:tcPr>
          <w:p w:rsidR="00C96546" w:rsidRPr="00C9654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заемного капитала, обороты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382" w:type="dxa"/>
            <w:vAlign w:val="center"/>
          </w:tcPr>
          <w:p w:rsidR="00C96546" w:rsidRPr="00C9654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каждого рубля собственного капитала получено 56,4 копейки чистой прибыли в 2017 году, высокий уровень рентабельности был нарушен в 2018 году и составил 6,3 копейки на рубль собственного капитала. В 20119 году данный показатель возрос до 31,7, что указывает на восстановление финансовой эффективности деятельности предприятия.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заемного капитала не столь эффективно, как собственного, однако тоже характеризуется достаточным уровнем: 14,0% в 2019 году. Его оборачиваемость сократилась с 6,9 оборотов в год до 5,9 оборотов. Замедление оборачиваемости может привести к дополнительному вовлечению средств в оборот.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Оборачиваемость же собственного капитала возросла, за год он стал оборачиваться 13,4 раза, подтверждая рост эффективности использования собственного капитала.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Проведем оценку и анализ деловой активности.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показатели деловой активности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деловой активности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обороты/год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9"/>
        <w:gridCol w:w="1098"/>
        <w:gridCol w:w="1098"/>
        <w:gridCol w:w="1098"/>
        <w:gridCol w:w="1260"/>
        <w:gridCol w:w="1358"/>
      </w:tblGrid>
      <w:tr w:rsidR="00C96546" w:rsidRPr="00544FC6" w:rsidTr="00C739A1">
        <w:tc>
          <w:tcPr>
            <w:tcW w:w="3794" w:type="dxa"/>
            <w:vMerge w:val="restart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58" w:type="dxa"/>
            <w:gridSpan w:val="2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C96546" w:rsidRPr="00544FC6" w:rsidTr="00C739A1">
        <w:tc>
          <w:tcPr>
            <w:tcW w:w="3794" w:type="dxa"/>
            <w:vMerge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2018/2017</w:t>
            </w:r>
          </w:p>
        </w:tc>
        <w:tc>
          <w:tcPr>
            <w:tcW w:w="1382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2019/2018</w:t>
            </w:r>
          </w:p>
        </w:tc>
      </w:tr>
      <w:tr w:rsidR="00C96546" w:rsidRPr="00544FC6" w:rsidTr="00C739A1">
        <w:tc>
          <w:tcPr>
            <w:tcW w:w="3794" w:type="dxa"/>
            <w:vAlign w:val="center"/>
          </w:tcPr>
          <w:p w:rsidR="00C96546" w:rsidRPr="00544FC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оборачиваемости капитала (Выручка/Валюта баланса)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382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-0,20</w:t>
            </w:r>
          </w:p>
        </w:tc>
      </w:tr>
      <w:tr w:rsidR="00C96546" w:rsidRPr="00544FC6" w:rsidTr="00C739A1">
        <w:tc>
          <w:tcPr>
            <w:tcW w:w="3794" w:type="dxa"/>
            <w:vAlign w:val="center"/>
          </w:tcPr>
          <w:p w:rsidR="00C96546" w:rsidRPr="00544FC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оборачиваемости основного капитала (Выручка/Основные средства)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17,91</w:t>
            </w:r>
          </w:p>
        </w:tc>
        <w:tc>
          <w:tcPr>
            <w:tcW w:w="1276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382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C96546" w:rsidRPr="00544FC6" w:rsidTr="00C739A1">
        <w:tc>
          <w:tcPr>
            <w:tcW w:w="3794" w:type="dxa"/>
            <w:vAlign w:val="center"/>
          </w:tcPr>
          <w:p w:rsidR="00C96546" w:rsidRPr="00544FC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оборачиваемости текущего капитала (Выручка/Оборотные активы)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276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-0,24</w:t>
            </w:r>
          </w:p>
        </w:tc>
        <w:tc>
          <w:tcPr>
            <w:tcW w:w="1382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-0,35</w:t>
            </w:r>
          </w:p>
        </w:tc>
      </w:tr>
      <w:tr w:rsidR="00C96546" w:rsidRPr="00544FC6" w:rsidTr="00C739A1">
        <w:tc>
          <w:tcPr>
            <w:tcW w:w="3794" w:type="dxa"/>
            <w:vAlign w:val="center"/>
          </w:tcPr>
          <w:p w:rsidR="00C96546" w:rsidRPr="00544FC6" w:rsidRDefault="00C96546" w:rsidP="00C965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оборачиваемости собственного капитала (Выручка/Капитал и резервы)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276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382" w:type="dxa"/>
            <w:vAlign w:val="center"/>
          </w:tcPr>
          <w:p w:rsidR="00C96546" w:rsidRPr="00544FC6" w:rsidRDefault="00C96546" w:rsidP="00C96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</w:tbl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динамику показателей деловой активности графически на рисунке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noProof/>
          <w:lang w:eastAsia="ru-RU"/>
        </w:rPr>
        <w:drawing>
          <wp:inline distT="0" distB="0" distL="0" distR="0" wp14:anchorId="6DA576C2" wp14:editId="7FC9EF7A">
            <wp:extent cx="5619750" cy="2057400"/>
            <wp:effectExtent l="0" t="0" r="19050" b="190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5EB60057-C313-4BFD-835B-FCCA8D4C5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6546" w:rsidRPr="00C96546" w:rsidRDefault="00C96546" w:rsidP="00C965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49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</m:oMath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деловой активности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капитал использовался эффективно, о чем говорит рост показателя оборачиваемости основного капитала. Каждый рубль, вложенный в основные средства, обеспечил 15,91 рублей выручки в 2017 году, в 2018 году показатель возрос до 17,67 руб./руб., а в 2019 году составил 17,91 руб./руб.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Оборачиваемость собственного капитала ускорилась с 11,63 оборота в 2017 году до 13,39 оборотов в 2019 году.</w:t>
      </w:r>
    </w:p>
    <w:p w:rsidR="00C96546" w:rsidRP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состояние </w:t>
      </w:r>
      <w:r w:rsidR="00C7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«Иркутскэнерго»</w:t>
      </w: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2017 – 2019 гг. можно считать финансово устойчивым. </w:t>
      </w:r>
    </w:p>
    <w:p w:rsidR="00C96546" w:rsidRDefault="00C9654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характеризуется высоким уровнем финансовых результатов, показателей ликвидности и деловой активности. С точки зрения финансового состояния компания характеризуется потенциальной инвестиционной привлекательностью.</w:t>
      </w:r>
    </w:p>
    <w:p w:rsidR="00544FC6" w:rsidRDefault="00544FC6" w:rsidP="00C96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C6" w:rsidRPr="00544FC6" w:rsidRDefault="00544FC6" w:rsidP="00544FC6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_Toc71684940"/>
      <w:r w:rsidRPr="00544FC6">
        <w:rPr>
          <w:rFonts w:ascii="Times New Roman" w:eastAsia="Times New Roman" w:hAnsi="Times New Roman" w:cs="Times New Roman"/>
          <w:color w:val="000000" w:themeColor="text1"/>
          <w:lang w:eastAsia="ru-RU"/>
        </w:rPr>
        <w:t>2.3 Совершенствование процессов управления имуществом предприятия</w:t>
      </w:r>
      <w:bookmarkEnd w:id="14"/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анализ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организации и источников его </w:t>
      </w: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финансирования, можно подвести итоги и сделать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44FC6" w:rsidRP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хозяйственной деятельности вопрос о факторах повышения эффективности деятельности имеет первостепенное значение для оценки внутренних резервов производства и выявления объективных условий и качества работы предприятия.</w:t>
      </w:r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изучения основных тенденций повышения информативного бухгалтерского баланса для анализа финансового состояния, которые были отмечены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параграфе</w:t>
      </w: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предложить определенные направления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имуществом</w:t>
      </w: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ПАО «Иркутскэнерго»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44FC6" w:rsidRP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баланса являются статическими и определяются на определенный момент времени, в данном случае на последний день отчетного года. </w:t>
      </w:r>
    </w:p>
    <w:p w:rsidR="00544FC6" w:rsidRP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Однако для более достоверных результатов, необходимо производить анализ с учетом принятых на предприятии решений в отчетном году, которые влияют на структуру активов и пассивов компании в ближайшее время после отчетной даты. </w:t>
      </w:r>
    </w:p>
    <w:p w:rsidR="00544FC6" w:rsidRP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новому расчету, к предприятию ПАО «Иркутскэнерго» можно отнести типу финансовой устойчивости, как абсолютная финансовая устойчивость. </w:t>
      </w:r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трансформация данных бухгалтерского баланса продемонстрировала иные показатели финансового состояния ПАО «Иркутскэнерго»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4FC6" w:rsidRP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показатели являются более точными для отражения реального финансового состояния предприятия и в дальнейшем, предприятию рекомендуется тщательно анализировать каждую строку актива и пассива баланса для получения достоверных показателей.</w:t>
      </w:r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информации о действующих и потенциальных клиентах имеет компания, тем эффективнее она сможет защитить собственные интересы и удостовериться в получении прибыли от осуществления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</w:t>
      </w: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мероприятием, которое будет способствовать совершенствованию управления имуществом организации, будет являться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нового регионального рынка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охвата его своими услугами.</w:t>
      </w:r>
    </w:p>
    <w:p w:rsidR="00544FC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значительно повысит уровень прибыли организации и её рыночную 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FC6" w:rsidRPr="00C96546" w:rsidRDefault="00544FC6" w:rsidP="00544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C6" w:rsidRDefault="00544FC6" w:rsidP="00B74E0B">
      <w:pPr>
        <w:pStyle w:val="1"/>
      </w:pPr>
    </w:p>
    <w:p w:rsidR="00544FC6" w:rsidRDefault="00544F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C57E9" w:rsidRPr="00544FC6" w:rsidRDefault="00B74E0B" w:rsidP="00B74E0B">
      <w:pPr>
        <w:pStyle w:val="1"/>
        <w:rPr>
          <w:rFonts w:ascii="Times New Roman" w:hAnsi="Times New Roman" w:cs="Times New Roman"/>
          <w:color w:val="000000" w:themeColor="text1"/>
        </w:rPr>
      </w:pPr>
      <w:bookmarkStart w:id="15" w:name="_Toc71684941"/>
      <w:r w:rsidRPr="00544FC6">
        <w:rPr>
          <w:rFonts w:ascii="Times New Roman" w:hAnsi="Times New Roman" w:cs="Times New Roman"/>
          <w:color w:val="000000" w:themeColor="text1"/>
        </w:rPr>
        <w:t>ЗАКЛЮЧЕНИЕ</w:t>
      </w:r>
      <w:bookmarkEnd w:id="15"/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 xml:space="preserve">Исследования, проведённые в данной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BE7929">
        <w:rPr>
          <w:rFonts w:ascii="Times New Roman" w:hAnsi="Times New Roman" w:cs="Times New Roman"/>
          <w:sz w:val="28"/>
          <w:szCs w:val="28"/>
        </w:rPr>
        <w:t xml:space="preserve"> работе , позволили сделать следующие выводы. Подробно изложенные  теоретические основы в области формирования имущества организации и источников его финансирования, характеристики этих источников, организация системного подхода к их управлению позволяют эффективно проводить анализ и оценку фина</w:t>
      </w:r>
      <w:r>
        <w:rPr>
          <w:rFonts w:ascii="Times New Roman" w:hAnsi="Times New Roman" w:cs="Times New Roman"/>
          <w:sz w:val="28"/>
          <w:szCs w:val="28"/>
        </w:rPr>
        <w:t>нсово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BE7929">
        <w:rPr>
          <w:rFonts w:ascii="Times New Roman" w:hAnsi="Times New Roman" w:cs="Times New Roman"/>
          <w:sz w:val="28"/>
          <w:szCs w:val="28"/>
        </w:rPr>
        <w:t xml:space="preserve">экономической деятельности компании в рамках выбранной темы. 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 xml:space="preserve">Из теоретических аспектов управления имуществом и источниками финансирования компании мы узнали, что всё имущество, которое находится у организации, а также отражается в его бухгалтерском балансе, является активами, они в свою очередь делятся на оборотные и внеоборотные. 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 xml:space="preserve">Также активы делятся на материальные, нематериальные и финансовые. Имущество компании, в зависимости от источников его образования делится на собственное и заёмное. 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>В системе управления имуществом организации объектами управления выступают имущественные комплексы и имущественные объекты, такие как здания, сооружения, оборудование и так далее, а также организационно-правовые отношения между субъектами хозяйственной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E7929">
        <w:rPr>
          <w:rFonts w:ascii="Times New Roman" w:hAnsi="Times New Roman" w:cs="Times New Roman"/>
          <w:sz w:val="28"/>
          <w:szCs w:val="28"/>
        </w:rPr>
        <w:t xml:space="preserve">, касающиеся имущества. 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>Управление имуществом представляет собой сбор методов разработки и реализации стратегии принятия управленческих решений, связанных с формированием, а также правильным и эффективным использованием объектов имущества в сферах деятельности компании. И</w:t>
      </w:r>
    </w:p>
    <w:p w:rsidR="00BE7929" w:rsidRDefault="004976CC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7929" w:rsidRPr="00BE7929">
        <w:rPr>
          <w:rFonts w:ascii="Times New Roman" w:hAnsi="Times New Roman" w:cs="Times New Roman"/>
          <w:sz w:val="28"/>
          <w:szCs w:val="28"/>
        </w:rPr>
        <w:t xml:space="preserve">сточники финансирования организации подразделяются на собственные, заёмные, привлеченные средства и средства государственного бюджета. Все источники финансирования делятся на внешние и внутренние. Также существует вариант деления источников финансирования на краткосрочные, среднесрочные и долгосрочные финансовые средства. Совершенствование управления имуществом компании требует комплексного подхода. 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>Для экономического результата от использования управления имуществом нужно разработать наиболее эф</w:t>
      </w:r>
      <w:r>
        <w:rPr>
          <w:rFonts w:ascii="Times New Roman" w:hAnsi="Times New Roman" w:cs="Times New Roman"/>
          <w:sz w:val="28"/>
          <w:szCs w:val="28"/>
        </w:rPr>
        <w:t>фективные управленческие методы.</w:t>
      </w:r>
    </w:p>
    <w:p w:rsid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имуществом организации напрямую связано с повышением эффективности использования  основных и оборотных средств. </w:t>
      </w:r>
    </w:p>
    <w:p w:rsidR="00544FC6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>Пути совершенствования управления имуществом компании следующие: рациональная организация производственных запасов; снижение отвлечения оборотных средств в сферу обращения; сведение к минимуму малоценных и быстроизнашивающихся запасов хозяйственных материалов; значительное снижение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29" w:rsidRP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29">
        <w:rPr>
          <w:rFonts w:ascii="Times New Roman" w:hAnsi="Times New Roman" w:cs="Times New Roman"/>
          <w:sz w:val="28"/>
          <w:szCs w:val="28"/>
        </w:rPr>
        <w:t xml:space="preserve">Проведя анализ основных финансово-экономических показателей можно сказать, что  в целом состояние ПАО «Иркутскэнерго»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929">
        <w:rPr>
          <w:rFonts w:ascii="Times New Roman" w:hAnsi="Times New Roman" w:cs="Times New Roman"/>
          <w:sz w:val="28"/>
          <w:szCs w:val="28"/>
        </w:rPr>
        <w:t xml:space="preserve">за период 2017 – 2019 гг. можно считать финансово устойчивым. По итогам проведенного анализа ПАО «Иркутскэнерго» находится за период 2017 – 2019 гг.  в состоянии абсолютной ликвидности и может полностью обеспечить запасы. </w:t>
      </w:r>
    </w:p>
    <w:p w:rsidR="00BE7929" w:rsidRPr="00BE7929" w:rsidRDefault="00BE7929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FC6" w:rsidRPr="00BE7929" w:rsidRDefault="00544FC6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FC6" w:rsidRPr="00BE7929" w:rsidRDefault="00544FC6" w:rsidP="00BE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FC6" w:rsidRDefault="00544FC6" w:rsidP="00B74E0B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BE7929" w:rsidRDefault="00BE7929" w:rsidP="00BE7929"/>
    <w:p w:rsidR="00BE7929" w:rsidRDefault="00BE7929" w:rsidP="00BE7929"/>
    <w:p w:rsidR="00BE7929" w:rsidRDefault="00BE7929" w:rsidP="00BE7929"/>
    <w:p w:rsidR="00BE7929" w:rsidRDefault="00BE7929" w:rsidP="00BE7929"/>
    <w:p w:rsidR="00BE7929" w:rsidRPr="00BE7929" w:rsidRDefault="00BE7929" w:rsidP="00BE7929"/>
    <w:p w:rsidR="009C57E9" w:rsidRPr="00544FC6" w:rsidRDefault="00B74E0B" w:rsidP="004976CC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16" w:name="_Toc71684942"/>
      <w:r w:rsidRPr="00544FC6">
        <w:rPr>
          <w:rFonts w:ascii="Times New Roman" w:hAnsi="Times New Roman" w:cs="Times New Roman"/>
          <w:color w:val="000000" w:themeColor="text1"/>
        </w:rPr>
        <w:t>СПИСОК ИСПОЛЬЗУЕМЫХ ИСТОЧНИКОВ</w:t>
      </w:r>
      <w:bookmarkEnd w:id="16"/>
    </w:p>
    <w:p w:rsidR="00544FC6" w:rsidRPr="0029105B" w:rsidRDefault="00544FC6" w:rsidP="004976CC">
      <w:pPr>
        <w:pStyle w:val="a6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5B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вторая: Федеральный закон от 1 мая 2019 г. № 117-ФЗ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 xml:space="preserve">  Гиренко, О.А. Диагностика, анализ финансово-хозяйственной деятельности компаний: Учеб. пособие. – Таганрог: Издательство ТРТУ, 2015. – 428 с.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>Глисин А. Ф. Рыночная оценка активов отечественных кредитных организаций: особенности и методы проведения. // Экономика, статистика и информатика. Вестник УМО. – 2016. – No 6 (2). – С. 273–279.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bCs/>
          <w:color w:val="000000"/>
          <w:sz w:val="28"/>
          <w:szCs w:val="28"/>
        </w:rPr>
        <w:t xml:space="preserve">Дадашев, А.З. Налоги и налогообложение в Российской Федерации: учебное пособие/ А.З. Дадашев. - М.: Вузовский учебник, 2017.- 240 с. </w:t>
      </w:r>
      <w:r w:rsidRPr="00962817">
        <w:rPr>
          <w:rFonts w:ascii="Times New Roman" w:hAnsi="Times New Roman" w:cs="Arial"/>
          <w:color w:val="000000"/>
          <w:sz w:val="28"/>
          <w:szCs w:val="28"/>
        </w:rPr>
        <w:t>(ЭБС Знаниум)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>Иванов, В. В.  Деньги, кредит, банки: учебник и практикум для вузов / В. В. Иванов, Б. И. Соколов; под редакцией В. В. Иванова, Б. И. Соколова. – Москва: Издательство Юрайт, 2020. – 371 с. – (Высшее образование). 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>Ковалев В.В. Финансовый менеджмент в вопросах и ответах: учеб.пособие / Вит. В. Ковалев, В.В. Ковалев. – М.: Проспект, 2018. – 336 с.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  <w:lang w:val="x-none"/>
        </w:rPr>
        <w:t>Коваленко, Н.Я Экономика недвижимости/ Н.Я Коваленко, Г.А. Петранева, А.Н. Родман. – М.: Колос</w:t>
      </w:r>
      <w:r w:rsidRPr="0096281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962817">
        <w:rPr>
          <w:rFonts w:ascii="Times New Roman" w:hAnsi="Times New Roman" w:cs="Arial"/>
          <w:color w:val="000000"/>
          <w:sz w:val="28"/>
          <w:szCs w:val="28"/>
          <w:lang w:val="x-none"/>
        </w:rPr>
        <w:t>С, 2018. – 240 c.</w:t>
      </w:r>
    </w:p>
    <w:p w:rsidR="00544FC6" w:rsidRPr="00962817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 xml:space="preserve">Комаров, С. И. Прогнозирование и планирование использования земельных ресурсов и объектов недвижимости: учебник для вузов / С. И. Комаров, А. А. Рассказова. – Москва: Издательство Юрайт, 2020. – 298 с. – (Высшее образование). </w:t>
      </w:r>
    </w:p>
    <w:p w:rsidR="00544FC6" w:rsidRPr="00544FC6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62817">
        <w:rPr>
          <w:rFonts w:ascii="Times New Roman" w:hAnsi="Times New Roman" w:cs="Arial"/>
          <w:color w:val="000000"/>
          <w:sz w:val="28"/>
          <w:szCs w:val="28"/>
        </w:rPr>
        <w:t xml:space="preserve">Котляров, М. А.  Экономика недвижимости: учебник и практикум для вузов / М. А. Котляров. – 2-е изд., перераб. и доп. – Москва: Издательство Юрайт, 2020. – 238 с. </w:t>
      </w:r>
    </w:p>
    <w:p w:rsidR="00544FC6" w:rsidRPr="00016ECC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Банк России. Международная инвестиционная позиция Российской Федерации по состоянию на дату. [Электронный ресурс]. – Режим доступа.  </w:t>
      </w:r>
      <w:hyperlink r:id="rId19" w:history="1">
        <w:r w:rsidRPr="00016EC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https://www.cbr.ru/statistics/macro_itm/svs/</w:t>
        </w:r>
      </w:hyperlink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16ECC">
        <w:rPr>
          <w:rFonts w:ascii="Times New Roman" w:eastAsia="Calibri" w:hAnsi="Times New Roman" w:cs="Times New Roman"/>
          <w:sz w:val="28"/>
          <w:szCs w:val="28"/>
        </w:rPr>
        <w:t>.</w:t>
      </w:r>
      <w:r w:rsidRPr="00962817">
        <w:rPr>
          <w:rFonts w:ascii="Times New Roman" w:eastAsia="Calibri" w:hAnsi="Times New Roman" w:cs="Times New Roman"/>
          <w:sz w:val="28"/>
          <w:szCs w:val="28"/>
        </w:rPr>
        <w:t>04</w:t>
      </w:r>
      <w:r w:rsidRPr="00016ECC">
        <w:rPr>
          <w:rFonts w:ascii="Times New Roman" w:eastAsia="Calibri" w:hAnsi="Times New Roman" w:cs="Times New Roman"/>
          <w:sz w:val="28"/>
          <w:szCs w:val="28"/>
        </w:rPr>
        <w:t>.202</w:t>
      </w:r>
      <w:r w:rsidRPr="00962817">
        <w:rPr>
          <w:rFonts w:ascii="Times New Roman" w:eastAsia="Calibri" w:hAnsi="Times New Roman" w:cs="Times New Roman"/>
          <w:sz w:val="28"/>
          <w:szCs w:val="28"/>
        </w:rPr>
        <w:t>1</w:t>
      </w:r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544FC6" w:rsidRPr="00B213E2" w:rsidRDefault="00544FC6" w:rsidP="00544FC6">
      <w:pPr>
        <w:pStyle w:val="ac"/>
        <w:numPr>
          <w:ilvl w:val="0"/>
          <w:numId w:val="30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B213E2">
        <w:rPr>
          <w:rFonts w:cs="Times New Roman"/>
          <w:sz w:val="28"/>
          <w:szCs w:val="28"/>
        </w:rPr>
        <w:t>Данные международного информационного агентства Thomson Reuters. – Текст: электронный // Thomson Reuters: терминал. - 2020. - [Электронный ресурс]. – Режим доступа: https://www.thomsonreuters.ru/ru  (Дата обращения: 16.04.2021).</w:t>
      </w:r>
    </w:p>
    <w:p w:rsidR="00544FC6" w:rsidRPr="00B213E2" w:rsidRDefault="00544FC6" w:rsidP="00544FC6">
      <w:pPr>
        <w:pStyle w:val="ac"/>
        <w:numPr>
          <w:ilvl w:val="0"/>
          <w:numId w:val="30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B213E2">
        <w:rPr>
          <w:rFonts w:cs="Times New Roman"/>
          <w:sz w:val="28"/>
          <w:szCs w:val="28"/>
        </w:rPr>
        <w:t>Информационно-справочная система СПАРК. [Электронный ресурс]. – Режим доступа: http://www.spark-interfax.ru/   (Дата обращения: 08.04.2021)</w:t>
      </w:r>
    </w:p>
    <w:p w:rsidR="00544FC6" w:rsidRPr="00016ECC" w:rsidRDefault="00544FC6" w:rsidP="00544FC6">
      <w:pPr>
        <w:pStyle w:val="a6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компании </w:t>
      </w:r>
      <w:r w:rsidRPr="00544FC6">
        <w:rPr>
          <w:rFonts w:ascii="Times New Roman" w:eastAsia="Calibri" w:hAnsi="Times New Roman" w:cs="Times New Roman"/>
          <w:sz w:val="28"/>
          <w:szCs w:val="28"/>
        </w:rPr>
        <w:t xml:space="preserve">ПАО «Иркутскэнерго» </w:t>
      </w:r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– Режим доступа.  </w:t>
      </w:r>
      <w:hyperlink r:id="rId20" w:history="1">
        <w:r w:rsidRPr="00974548">
          <w:rPr>
            <w:rStyle w:val="af0"/>
            <w:rFonts w:ascii="Times New Roman" w:hAnsi="Times New Roman" w:cs="Times New Roman"/>
            <w:sz w:val="28"/>
            <w:szCs w:val="28"/>
          </w:rPr>
          <w:t>https://www.irkutskenergo.ru/qa/about.html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6">
        <w:t xml:space="preserve"> </w:t>
      </w:r>
      <w:r w:rsidRPr="00016ECC">
        <w:rPr>
          <w:rFonts w:ascii="Times New Roman" w:eastAsia="Calibri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016ECC">
        <w:rPr>
          <w:rFonts w:ascii="Times New Roman" w:eastAsia="Calibri" w:hAnsi="Times New Roman" w:cs="Times New Roman"/>
          <w:sz w:val="28"/>
          <w:szCs w:val="28"/>
        </w:rPr>
        <w:t>.</w:t>
      </w:r>
      <w:r w:rsidRPr="00B213E2">
        <w:rPr>
          <w:rFonts w:ascii="Times New Roman" w:eastAsia="Calibri" w:hAnsi="Times New Roman" w:cs="Times New Roman"/>
          <w:sz w:val="28"/>
          <w:szCs w:val="28"/>
        </w:rPr>
        <w:t>04</w:t>
      </w:r>
      <w:r w:rsidRPr="00016ECC">
        <w:rPr>
          <w:rFonts w:ascii="Times New Roman" w:eastAsia="Calibri" w:hAnsi="Times New Roman" w:cs="Times New Roman"/>
          <w:sz w:val="28"/>
          <w:szCs w:val="28"/>
        </w:rPr>
        <w:t>.202</w:t>
      </w:r>
      <w:r w:rsidRPr="00B213E2">
        <w:rPr>
          <w:rFonts w:ascii="Times New Roman" w:eastAsia="Calibri" w:hAnsi="Times New Roman" w:cs="Times New Roman"/>
          <w:sz w:val="28"/>
          <w:szCs w:val="28"/>
        </w:rPr>
        <w:t>1</w:t>
      </w:r>
      <w:r w:rsidRPr="00016EC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44FC6" w:rsidRPr="00B213E2" w:rsidRDefault="00544FC6" w:rsidP="00544FC6">
      <w:pPr>
        <w:pStyle w:val="ac"/>
        <w:numPr>
          <w:ilvl w:val="0"/>
          <w:numId w:val="30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B213E2">
        <w:rPr>
          <w:rFonts w:cs="Times New Roman"/>
          <w:sz w:val="28"/>
          <w:szCs w:val="28"/>
        </w:rPr>
        <w:t>Федеральная служба государственной статистики: - [Электронный ресурс]. – Режим доступа: https://rosstat.gov.ru/ (Дата обращения: 07.04.2021).</w:t>
      </w:r>
    </w:p>
    <w:p w:rsidR="00544FC6" w:rsidRPr="00016ECC" w:rsidRDefault="00544FC6" w:rsidP="00544FC6">
      <w:pPr>
        <w:pStyle w:val="ac"/>
        <w:spacing w:line="360" w:lineRule="auto"/>
        <w:ind w:left="709" w:firstLine="0"/>
        <w:rPr>
          <w:rFonts w:cs="Times New Roman"/>
          <w:sz w:val="28"/>
          <w:szCs w:val="28"/>
        </w:rPr>
      </w:pPr>
    </w:p>
    <w:p w:rsidR="00544FC6" w:rsidRPr="0029105B" w:rsidRDefault="00544FC6" w:rsidP="00544F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FC6" w:rsidRPr="0029105B" w:rsidRDefault="00544FC6" w:rsidP="00544FC6">
      <w:pPr>
        <w:spacing w:after="0" w:line="360" w:lineRule="auto"/>
        <w:ind w:firstLine="709"/>
        <w:jc w:val="both"/>
      </w:pPr>
    </w:p>
    <w:p w:rsidR="00544FC6" w:rsidRPr="002503A0" w:rsidRDefault="00544FC6" w:rsidP="00544FC6">
      <w:pPr>
        <w:spacing w:after="0" w:line="360" w:lineRule="auto"/>
        <w:ind w:firstLine="709"/>
        <w:jc w:val="both"/>
      </w:pPr>
    </w:p>
    <w:p w:rsidR="009C57E9" w:rsidRDefault="009C57E9" w:rsidP="00B74E0B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9C57E9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E9" w:rsidRPr="008B2A32" w:rsidRDefault="009C5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7E9" w:rsidRPr="008B2A32" w:rsidSect="0049000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47" w:rsidRDefault="00403447" w:rsidP="00490006">
      <w:pPr>
        <w:spacing w:after="0" w:line="240" w:lineRule="auto"/>
      </w:pPr>
      <w:r>
        <w:separator/>
      </w:r>
    </w:p>
  </w:endnote>
  <w:endnote w:type="continuationSeparator" w:id="0">
    <w:p w:rsidR="00403447" w:rsidRDefault="00403447" w:rsidP="0049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19776"/>
      <w:docPartObj>
        <w:docPartGallery w:val="Page Numbers (Bottom of Page)"/>
        <w:docPartUnique/>
      </w:docPartObj>
    </w:sdtPr>
    <w:sdtEndPr/>
    <w:sdtContent>
      <w:p w:rsidR="00CC1B31" w:rsidRDefault="00CC1B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CC">
          <w:rPr>
            <w:noProof/>
          </w:rPr>
          <w:t>2</w:t>
        </w:r>
        <w:r>
          <w:fldChar w:fldCharType="end"/>
        </w:r>
      </w:p>
    </w:sdtContent>
  </w:sdt>
  <w:p w:rsidR="00CC1B31" w:rsidRDefault="00CC1B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47" w:rsidRDefault="00403447" w:rsidP="00490006">
      <w:pPr>
        <w:spacing w:after="0" w:line="240" w:lineRule="auto"/>
      </w:pPr>
      <w:r>
        <w:separator/>
      </w:r>
    </w:p>
  </w:footnote>
  <w:footnote w:type="continuationSeparator" w:id="0">
    <w:p w:rsidR="00403447" w:rsidRDefault="00403447" w:rsidP="0049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DB8"/>
    <w:multiLevelType w:val="hybridMultilevel"/>
    <w:tmpl w:val="96282880"/>
    <w:lvl w:ilvl="0" w:tplc="8EC81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D55B7"/>
    <w:multiLevelType w:val="hybridMultilevel"/>
    <w:tmpl w:val="638A2C1A"/>
    <w:lvl w:ilvl="0" w:tplc="3126D5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712"/>
    <w:multiLevelType w:val="hybridMultilevel"/>
    <w:tmpl w:val="C7CA1138"/>
    <w:lvl w:ilvl="0" w:tplc="8EC81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EB4E60"/>
    <w:multiLevelType w:val="multilevel"/>
    <w:tmpl w:val="8F041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752"/>
    <w:multiLevelType w:val="multilevel"/>
    <w:tmpl w:val="B022A5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D304E"/>
    <w:multiLevelType w:val="hybridMultilevel"/>
    <w:tmpl w:val="B722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2CB0"/>
    <w:multiLevelType w:val="hybridMultilevel"/>
    <w:tmpl w:val="2F287C54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9D3D3F"/>
    <w:multiLevelType w:val="hybridMultilevel"/>
    <w:tmpl w:val="C97413FE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E83802"/>
    <w:multiLevelType w:val="hybridMultilevel"/>
    <w:tmpl w:val="CE8A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C95903"/>
    <w:multiLevelType w:val="hybridMultilevel"/>
    <w:tmpl w:val="9420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E25"/>
    <w:multiLevelType w:val="hybridMultilevel"/>
    <w:tmpl w:val="1B2271AC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B81266"/>
    <w:multiLevelType w:val="hybridMultilevel"/>
    <w:tmpl w:val="21D0800E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D96472"/>
    <w:multiLevelType w:val="hybridMultilevel"/>
    <w:tmpl w:val="FDE00FFA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717A68"/>
    <w:multiLevelType w:val="hybridMultilevel"/>
    <w:tmpl w:val="F128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77DB"/>
    <w:multiLevelType w:val="hybridMultilevel"/>
    <w:tmpl w:val="D07E1B9C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D63B11"/>
    <w:multiLevelType w:val="hybridMultilevel"/>
    <w:tmpl w:val="679C655C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E02848"/>
    <w:multiLevelType w:val="hybridMultilevel"/>
    <w:tmpl w:val="22E0389C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E452AB"/>
    <w:multiLevelType w:val="hybridMultilevel"/>
    <w:tmpl w:val="59F2FD5A"/>
    <w:lvl w:ilvl="0" w:tplc="8EC81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9B31F5"/>
    <w:multiLevelType w:val="hybridMultilevel"/>
    <w:tmpl w:val="85DE14BE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B02E97"/>
    <w:multiLevelType w:val="hybridMultilevel"/>
    <w:tmpl w:val="1C8802E2"/>
    <w:lvl w:ilvl="0" w:tplc="5F0A9904">
      <w:start w:val="1"/>
      <w:numFmt w:val="decimal"/>
      <w:lvlText w:val="%1."/>
      <w:lvlJc w:val="left"/>
      <w:pPr>
        <w:ind w:left="384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4" w:hanging="360"/>
      </w:pPr>
    </w:lvl>
    <w:lvl w:ilvl="2" w:tplc="0419001B" w:tentative="1">
      <w:start w:val="1"/>
      <w:numFmt w:val="lowerRoman"/>
      <w:lvlText w:val="%3."/>
      <w:lvlJc w:val="right"/>
      <w:pPr>
        <w:ind w:left="4084" w:hanging="180"/>
      </w:pPr>
    </w:lvl>
    <w:lvl w:ilvl="3" w:tplc="0419000F" w:tentative="1">
      <w:start w:val="1"/>
      <w:numFmt w:val="decimal"/>
      <w:lvlText w:val="%4."/>
      <w:lvlJc w:val="left"/>
      <w:pPr>
        <w:ind w:left="4804" w:hanging="360"/>
      </w:pPr>
    </w:lvl>
    <w:lvl w:ilvl="4" w:tplc="04190019" w:tentative="1">
      <w:start w:val="1"/>
      <w:numFmt w:val="lowerLetter"/>
      <w:lvlText w:val="%5."/>
      <w:lvlJc w:val="left"/>
      <w:pPr>
        <w:ind w:left="5524" w:hanging="360"/>
      </w:pPr>
    </w:lvl>
    <w:lvl w:ilvl="5" w:tplc="0419001B" w:tentative="1">
      <w:start w:val="1"/>
      <w:numFmt w:val="lowerRoman"/>
      <w:lvlText w:val="%6."/>
      <w:lvlJc w:val="right"/>
      <w:pPr>
        <w:ind w:left="6244" w:hanging="180"/>
      </w:pPr>
    </w:lvl>
    <w:lvl w:ilvl="6" w:tplc="0419000F" w:tentative="1">
      <w:start w:val="1"/>
      <w:numFmt w:val="decimal"/>
      <w:lvlText w:val="%7."/>
      <w:lvlJc w:val="left"/>
      <w:pPr>
        <w:ind w:left="6964" w:hanging="360"/>
      </w:pPr>
    </w:lvl>
    <w:lvl w:ilvl="7" w:tplc="04190019" w:tentative="1">
      <w:start w:val="1"/>
      <w:numFmt w:val="lowerLetter"/>
      <w:lvlText w:val="%8."/>
      <w:lvlJc w:val="left"/>
      <w:pPr>
        <w:ind w:left="7684" w:hanging="360"/>
      </w:pPr>
    </w:lvl>
    <w:lvl w:ilvl="8" w:tplc="0419001B" w:tentative="1">
      <w:start w:val="1"/>
      <w:numFmt w:val="lowerRoman"/>
      <w:lvlText w:val="%9."/>
      <w:lvlJc w:val="right"/>
      <w:pPr>
        <w:ind w:left="8404" w:hanging="180"/>
      </w:pPr>
    </w:lvl>
  </w:abstractNum>
  <w:abstractNum w:abstractNumId="20" w15:restartNumberingAfterBreak="0">
    <w:nsid w:val="427F4E20"/>
    <w:multiLevelType w:val="hybridMultilevel"/>
    <w:tmpl w:val="ACBE9BFC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4D0DD0"/>
    <w:multiLevelType w:val="hybridMultilevel"/>
    <w:tmpl w:val="11A65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606694"/>
    <w:multiLevelType w:val="hybridMultilevel"/>
    <w:tmpl w:val="34AC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E5FD3"/>
    <w:multiLevelType w:val="hybridMultilevel"/>
    <w:tmpl w:val="C0BA4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2A546A"/>
    <w:multiLevelType w:val="hybridMultilevel"/>
    <w:tmpl w:val="79761732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D3125D"/>
    <w:multiLevelType w:val="hybridMultilevel"/>
    <w:tmpl w:val="639A8098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C40645"/>
    <w:multiLevelType w:val="hybridMultilevel"/>
    <w:tmpl w:val="612C38A8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D80719"/>
    <w:multiLevelType w:val="multilevel"/>
    <w:tmpl w:val="D164A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711F7A"/>
    <w:multiLevelType w:val="hybridMultilevel"/>
    <w:tmpl w:val="6BB4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1FE5"/>
    <w:multiLevelType w:val="hybridMultilevel"/>
    <w:tmpl w:val="920C6BA8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2D6440"/>
    <w:multiLevelType w:val="hybridMultilevel"/>
    <w:tmpl w:val="40B0F560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1519B4"/>
    <w:multiLevelType w:val="hybridMultilevel"/>
    <w:tmpl w:val="72524330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E0C1A"/>
    <w:multiLevelType w:val="multilevel"/>
    <w:tmpl w:val="D71012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85B6B"/>
    <w:multiLevelType w:val="hybridMultilevel"/>
    <w:tmpl w:val="B02AD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843865"/>
    <w:multiLevelType w:val="hybridMultilevel"/>
    <w:tmpl w:val="9672F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F121EF"/>
    <w:multiLevelType w:val="hybridMultilevel"/>
    <w:tmpl w:val="0232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90CE7"/>
    <w:multiLevelType w:val="hybridMultilevel"/>
    <w:tmpl w:val="5D76D1BE"/>
    <w:lvl w:ilvl="0" w:tplc="8EC8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0C7C"/>
    <w:multiLevelType w:val="hybridMultilevel"/>
    <w:tmpl w:val="21AAB7CA"/>
    <w:lvl w:ilvl="0" w:tplc="8EC81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7380288"/>
    <w:multiLevelType w:val="hybridMultilevel"/>
    <w:tmpl w:val="9A789758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96E2C"/>
    <w:multiLevelType w:val="hybridMultilevel"/>
    <w:tmpl w:val="D996D58E"/>
    <w:lvl w:ilvl="0" w:tplc="8EC81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2"/>
  </w:num>
  <w:num w:numId="4">
    <w:abstractNumId w:val="15"/>
  </w:num>
  <w:num w:numId="5">
    <w:abstractNumId w:val="16"/>
  </w:num>
  <w:num w:numId="6">
    <w:abstractNumId w:val="24"/>
  </w:num>
  <w:num w:numId="7">
    <w:abstractNumId w:val="18"/>
  </w:num>
  <w:num w:numId="8">
    <w:abstractNumId w:val="10"/>
  </w:num>
  <w:num w:numId="9">
    <w:abstractNumId w:val="6"/>
  </w:num>
  <w:num w:numId="10">
    <w:abstractNumId w:val="7"/>
  </w:num>
  <w:num w:numId="11">
    <w:abstractNumId w:val="29"/>
  </w:num>
  <w:num w:numId="12">
    <w:abstractNumId w:val="1"/>
  </w:num>
  <w:num w:numId="13">
    <w:abstractNumId w:val="30"/>
  </w:num>
  <w:num w:numId="14">
    <w:abstractNumId w:val="31"/>
  </w:num>
  <w:num w:numId="15">
    <w:abstractNumId w:val="12"/>
  </w:num>
  <w:num w:numId="16">
    <w:abstractNumId w:val="19"/>
  </w:num>
  <w:num w:numId="17">
    <w:abstractNumId w:val="25"/>
  </w:num>
  <w:num w:numId="18">
    <w:abstractNumId w:val="28"/>
  </w:num>
  <w:num w:numId="19">
    <w:abstractNumId w:val="5"/>
  </w:num>
  <w:num w:numId="20">
    <w:abstractNumId w:val="20"/>
  </w:num>
  <w:num w:numId="21">
    <w:abstractNumId w:val="38"/>
  </w:num>
  <w:num w:numId="22">
    <w:abstractNumId w:val="11"/>
  </w:num>
  <w:num w:numId="23">
    <w:abstractNumId w:val="39"/>
  </w:num>
  <w:num w:numId="24">
    <w:abstractNumId w:val="37"/>
  </w:num>
  <w:num w:numId="25">
    <w:abstractNumId w:val="26"/>
  </w:num>
  <w:num w:numId="26">
    <w:abstractNumId w:val="2"/>
  </w:num>
  <w:num w:numId="27">
    <w:abstractNumId w:val="17"/>
  </w:num>
  <w:num w:numId="28">
    <w:abstractNumId w:val="36"/>
  </w:num>
  <w:num w:numId="29">
    <w:abstractNumId w:val="0"/>
  </w:num>
  <w:num w:numId="30">
    <w:abstractNumId w:val="13"/>
  </w:num>
  <w:num w:numId="31">
    <w:abstractNumId w:val="27"/>
  </w:num>
  <w:num w:numId="32">
    <w:abstractNumId w:val="4"/>
  </w:num>
  <w:num w:numId="33">
    <w:abstractNumId w:val="23"/>
  </w:num>
  <w:num w:numId="34">
    <w:abstractNumId w:val="33"/>
  </w:num>
  <w:num w:numId="35">
    <w:abstractNumId w:val="9"/>
  </w:num>
  <w:num w:numId="36">
    <w:abstractNumId w:val="21"/>
  </w:num>
  <w:num w:numId="37">
    <w:abstractNumId w:val="3"/>
  </w:num>
  <w:num w:numId="38">
    <w:abstractNumId w:val="32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A32"/>
    <w:rsid w:val="001D166C"/>
    <w:rsid w:val="00403447"/>
    <w:rsid w:val="00472978"/>
    <w:rsid w:val="00490006"/>
    <w:rsid w:val="004976CC"/>
    <w:rsid w:val="00534FF8"/>
    <w:rsid w:val="00544FC6"/>
    <w:rsid w:val="005570D9"/>
    <w:rsid w:val="007274C4"/>
    <w:rsid w:val="00885D21"/>
    <w:rsid w:val="008B2A32"/>
    <w:rsid w:val="009C57E9"/>
    <w:rsid w:val="00B74E0B"/>
    <w:rsid w:val="00BD4E1F"/>
    <w:rsid w:val="00BE7929"/>
    <w:rsid w:val="00C739A1"/>
    <w:rsid w:val="00C96546"/>
    <w:rsid w:val="00CC1B31"/>
    <w:rsid w:val="00DE566D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9DE3-A610-FE42-8A31-DAB8662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274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06"/>
  </w:style>
  <w:style w:type="paragraph" w:styleId="a9">
    <w:name w:val="footer"/>
    <w:basedOn w:val="a"/>
    <w:link w:val="aa"/>
    <w:uiPriority w:val="99"/>
    <w:unhideWhenUsed/>
    <w:rsid w:val="0049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06"/>
  </w:style>
  <w:style w:type="character" w:customStyle="1" w:styleId="20">
    <w:name w:val="Заголовок 2 Знак"/>
    <w:basedOn w:val="a0"/>
    <w:link w:val="2"/>
    <w:uiPriority w:val="9"/>
    <w:rsid w:val="00490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C96546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C96546"/>
    <w:pPr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96546"/>
    <w:rPr>
      <w:rFonts w:ascii="Times New Roman" w:hAnsi="Times New Roman" w:cs="Arial"/>
      <w:color w:val="000000"/>
      <w:sz w:val="20"/>
      <w:szCs w:val="20"/>
    </w:rPr>
  </w:style>
  <w:style w:type="character" w:styleId="ae">
    <w:name w:val="footnote reference"/>
    <w:basedOn w:val="a0"/>
    <w:uiPriority w:val="99"/>
    <w:unhideWhenUsed/>
    <w:rsid w:val="00C96546"/>
    <w:rPr>
      <w:vertAlign w:val="superscript"/>
    </w:rPr>
  </w:style>
  <w:style w:type="table" w:styleId="af">
    <w:name w:val="Table Grid"/>
    <w:basedOn w:val="a1"/>
    <w:uiPriority w:val="39"/>
    <w:rsid w:val="00C9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96546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654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96546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96546"/>
    <w:rPr>
      <w:rFonts w:ascii="Times New Roman" w:eastAsia="Times New Roman" w:hAnsi="Times New Roman" w:cs="Times New Roman"/>
      <w:b/>
      <w:caps/>
      <w:sz w:val="16"/>
      <w:szCs w:val="20"/>
      <w:lang w:val="x-none" w:eastAsia="x-none"/>
    </w:rPr>
  </w:style>
  <w:style w:type="paragraph" w:styleId="af3">
    <w:name w:val="TOC Heading"/>
    <w:basedOn w:val="1"/>
    <w:next w:val="a"/>
    <w:uiPriority w:val="39"/>
    <w:semiHidden/>
    <w:unhideWhenUsed/>
    <w:qFormat/>
    <w:rsid w:val="00C9654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96546"/>
    <w:pPr>
      <w:spacing w:after="100"/>
    </w:pPr>
  </w:style>
  <w:style w:type="character" w:styleId="af4">
    <w:name w:val="annotation reference"/>
    <w:basedOn w:val="a0"/>
    <w:uiPriority w:val="99"/>
    <w:semiHidden/>
    <w:unhideWhenUsed/>
    <w:rsid w:val="00C9654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9654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9654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9654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96546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739A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microsoft.com/office/2007/relationships/diagramDrawing" Target="diagrams/drawing1.xml" /><Relationship Id="rId18" Type="http://schemas.openxmlformats.org/officeDocument/2006/relationships/chart" Target="charts/chart5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diagramColors" Target="diagrams/colors1.xml" /><Relationship Id="rId17" Type="http://schemas.openxmlformats.org/officeDocument/2006/relationships/chart" Target="charts/chart4.xml" /><Relationship Id="rId2" Type="http://schemas.openxmlformats.org/officeDocument/2006/relationships/numbering" Target="numbering.xml" /><Relationship Id="rId16" Type="http://schemas.openxmlformats.org/officeDocument/2006/relationships/chart" Target="charts/chart3.xml" /><Relationship Id="rId20" Type="http://schemas.openxmlformats.org/officeDocument/2006/relationships/hyperlink" Target="https://www.irkutskenergo.ru/qa/about.html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diagramQuickStyle" Target="diagrams/quickStyle1.xml" /><Relationship Id="rId5" Type="http://schemas.openxmlformats.org/officeDocument/2006/relationships/webSettings" Target="webSettings.xml" /><Relationship Id="rId15" Type="http://schemas.openxmlformats.org/officeDocument/2006/relationships/chart" Target="charts/chart2.xml" /><Relationship Id="rId23" Type="http://schemas.openxmlformats.org/officeDocument/2006/relationships/theme" Target="theme/theme1.xml" /><Relationship Id="rId10" Type="http://schemas.openxmlformats.org/officeDocument/2006/relationships/diagramLayout" Target="diagrams/layout1.xml" /><Relationship Id="rId19" Type="http://schemas.openxmlformats.org/officeDocument/2006/relationships/hyperlink" Target="https://www.cbr.ru/statistics/macro_itm/svs/" TargetMode="External" /><Relationship Id="rId4" Type="http://schemas.openxmlformats.org/officeDocument/2006/relationships/settings" Target="settings.xml" /><Relationship Id="rId9" Type="http://schemas.openxmlformats.org/officeDocument/2006/relationships/diagramData" Target="diagrams/data1.xml" /><Relationship Id="rId14" Type="http://schemas.openxmlformats.org/officeDocument/2006/relationships/chart" Target="charts/chart1.xml" /><Relationship Id="rId22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91;&#1076;&#1077;&#1085;&#1090;&#1099;\&#1044;&#1080;&#1087;&#1083;&#1086;&#1084;&#1099;\&#1048;&#1085;&#1074;&#1077;&#1089;&#1090;%20&#1087;&#1088;&#1080;&#1074;&#1083;&#1077;&#1082;&#1072;&#1090;&#1077;&#1083;&#1100;&#1085;&#1086;&#1089;&#1090;&#1100;\&#1051;&#1080;&#1089;&#1090;%20Microsoft%20Excel.xlsx" TargetMode="External" /><Relationship Id="rId1" Type="http://schemas.openxmlformats.org/officeDocument/2006/relationships/themeOverride" Target="../theme/themeOverride1.xml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91;&#1076;&#1077;&#1085;&#1090;&#1099;\&#1044;&#1080;&#1087;&#1083;&#1086;&#1084;&#1099;\&#1048;&#1085;&#1074;&#1077;&#1089;&#1090;%20&#1087;&#1088;&#1080;&#1074;&#1083;&#1077;&#1082;&#1072;&#1090;&#1077;&#1083;&#1100;&#1085;&#1086;&#1089;&#1090;&#1100;\&#1051;&#1080;&#1089;&#1090;%20Microsoft%20Excel.xlsx" TargetMode="External" /><Relationship Id="rId1" Type="http://schemas.openxmlformats.org/officeDocument/2006/relationships/themeOverride" Target="../theme/themeOverride2.xml" 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91;&#1076;&#1077;&#1085;&#1090;&#1099;\&#1044;&#1080;&#1087;&#1083;&#1086;&#1084;&#1099;\&#1048;&#1085;&#1074;&#1077;&#1089;&#1090;%20&#1087;&#1088;&#1080;&#1074;&#1083;&#1077;&#1082;&#1072;&#1090;&#1077;&#1083;&#1100;&#1085;&#1086;&#1089;&#1090;&#1100;\&#1051;&#1080;&#1089;&#1090;%20Microsoft%20Excel.xlsx" TargetMode="External" /><Relationship Id="rId1" Type="http://schemas.openxmlformats.org/officeDocument/2006/relationships/themeOverride" Target="../theme/themeOverride3.xml" 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91;&#1076;&#1077;&#1085;&#1090;&#1099;\&#1044;&#1080;&#1087;&#1083;&#1086;&#1084;&#1099;\&#1048;&#1085;&#1074;&#1077;&#1089;&#1090;%20&#1087;&#1088;&#1080;&#1074;&#1083;&#1077;&#1082;&#1072;&#1090;&#1077;&#1083;&#1100;&#1085;&#1086;&#1089;&#1090;&#1100;\&#1051;&#1080;&#1089;&#1090;%20Microsoft%20Excel.xlsx" TargetMode="External" /><Relationship Id="rId1" Type="http://schemas.openxmlformats.org/officeDocument/2006/relationships/themeOverride" Target="../theme/themeOverride4.xml" 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91;&#1076;&#1077;&#1085;&#1090;&#1099;\&#1044;&#1080;&#1087;&#1083;&#1086;&#1084;&#1099;\&#1048;&#1085;&#1074;&#1077;&#1089;&#1090;%20&#1087;&#1088;&#1080;&#1074;&#1083;&#1077;&#1082;&#1072;&#1090;&#1077;&#1083;&#1100;&#1085;&#1086;&#1089;&#1090;&#1100;\&#1051;&#1080;&#1089;&#1090;%20Microsoft%20Excel.xlsx" TargetMode="External" /><Relationship Id="rId1" Type="http://schemas.openxmlformats.org/officeDocument/2006/relationships/themeOverride" Target="../theme/themeOverride5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Лист1!$Q$3</c:f>
              <c:strCache>
                <c:ptCount val="1"/>
                <c:pt idx="0">
                  <c:v>Внеоборотные активы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Лист1!$R$2:$T$2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Лист1!$R$3:$T$3</c:f>
              <c:numCache>
                <c:formatCode>0.00</c:formatCode>
                <c:ptCount val="3"/>
                <c:pt idx="0">
                  <c:v>26.192549381632062</c:v>
                </c:pt>
                <c:pt idx="1">
                  <c:v>23.375222195495159</c:v>
                </c:pt>
                <c:pt idx="2">
                  <c:v>23.531793686362665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B-4130-A4D2-CD38E94A70D8}"/>
            </c:ext>
          </c:extLst>
        </c:ser>
        <c:ser>
          <c:idx val="1"/>
          <c:order val="1"/>
          <c:tx>
            <c:strRef>
              <c:f>Лист1!$Q$4</c:f>
              <c:strCache>
                <c:ptCount val="1"/>
                <c:pt idx="0">
                  <c:v>Оборотные активы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Лист1!$R$2:$T$2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Лист1!$R$4:$T$4</c:f>
              <c:numCache>
                <c:formatCode>0.00</c:formatCode>
                <c:ptCount val="3"/>
                <c:pt idx="0">
                  <c:v>73.807450618367938</c:v>
                </c:pt>
                <c:pt idx="1">
                  <c:v>76.624777804504845</c:v>
                </c:pt>
                <c:pt idx="2">
                  <c:v>76.468206313637339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B-4130-A4D2-CD38E94A7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3910016"/>
        <c:axId val="411948160"/>
      </c:barChart>
      <c:catAx>
        <c:axId val="4039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1948160"/>
        <c:crosses val="autoZero"/>
        <c:auto val="1"/>
        <c:lblAlgn val="ctr"/>
        <c:lblOffset val="100"/>
        <c:noMultiLvlLbl val="0"/>
      </c:catAx>
      <c:valAx>
        <c:axId val="41194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039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Лист1!$Q$5</c:f>
              <c:strCache>
                <c:ptCount val="1"/>
                <c:pt idx="0">
                  <c:v>Капитал и резервы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Лист1!$R$2:$T$2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Лист1!$R$5:$T$5</c:f>
              <c:numCache>
                <c:formatCode>0.00</c:formatCode>
                <c:ptCount val="3"/>
                <c:pt idx="0">
                  <c:v>38.835763130175067</c:v>
                </c:pt>
                <c:pt idx="1">
                  <c:v>27.131438900927996</c:v>
                </c:pt>
                <c:pt idx="2">
                  <c:v>33.840684033384569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3-4FB5-812B-5A914FD9A2FF}"/>
            </c:ext>
          </c:extLst>
        </c:ser>
        <c:ser>
          <c:idx val="1"/>
          <c:order val="1"/>
          <c:tx>
            <c:strRef>
              <c:f>Лист1!$Q$6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Лист1!$R$2:$T$2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Лист1!$R$6:$T$6</c:f>
              <c:numCache>
                <c:formatCode>0.00</c:formatCode>
                <c:ptCount val="3"/>
                <c:pt idx="0">
                  <c:v>9.2092545302477955</c:v>
                </c:pt>
                <c:pt idx="1">
                  <c:v>15.248609922932877</c:v>
                </c:pt>
                <c:pt idx="2">
                  <c:v>11.209544915114845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3-4FB5-812B-5A914FD9A2FF}"/>
            </c:ext>
          </c:extLst>
        </c:ser>
        <c:ser>
          <c:idx val="2"/>
          <c:order val="2"/>
          <c:tx>
            <c:strRef>
              <c:f>Лист1!$Q$7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Лист1!$R$2:$T$2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Лист1!$R$7:$T$7</c:f>
              <c:numCache>
                <c:formatCode>0.00</c:formatCode>
                <c:ptCount val="3"/>
                <c:pt idx="0">
                  <c:v>51.954982339577136</c:v>
                </c:pt>
                <c:pt idx="1">
                  <c:v>57.619951176139125</c:v>
                </c:pt>
                <c:pt idx="2">
                  <c:v>55.754495402459447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C3-4FB5-812B-5A914FD9A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4858240"/>
        <c:axId val="414868224"/>
      </c:barChart>
      <c:catAx>
        <c:axId val="4148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4868224"/>
        <c:crosses val="autoZero"/>
        <c:auto val="1"/>
        <c:lblAlgn val="ctr"/>
        <c:lblOffset val="100"/>
        <c:noMultiLvlLbl val="0"/>
      </c:catAx>
      <c:valAx>
        <c:axId val="41486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485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Лист1!$A$41:$A$44</c:f>
              <c:strCache>
                <c:ptCount val="4"/>
                <c:pt idx="0">
                  <c:v>Валовая прибыль</c:v>
                </c:pt>
                <c:pt idx="1">
                  <c:v>Прибыль от продаж</c:v>
                </c:pt>
                <c:pt idx="2">
                  <c:v>Прибыль до налогообложения</c:v>
                </c:pt>
                <c:pt idx="3">
                  <c:v>Чистая прибыль</c:v>
                </c:pt>
              </c:strCache>
            </c:strRef>
          </c:cat>
          <c:val>
            <c:numRef>
              <c:f>Лист1!$B$41:$B$44</c:f>
              <c:numCache>
                <c:formatCode>General</c:formatCode>
                <c:ptCount val="4"/>
                <c:pt idx="0">
                  <c:v>7271540</c:v>
                </c:pt>
                <c:pt idx="1">
                  <c:v>3245326</c:v>
                </c:pt>
                <c:pt idx="2">
                  <c:v>3644779</c:v>
                </c:pt>
                <c:pt idx="3">
                  <c:v>3235296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5-439D-A1F9-77173CA01C51}"/>
            </c:ext>
          </c:extLst>
        </c:ser>
        <c:ser>
          <c:idx val="1"/>
          <c:order val="1"/>
          <c:tx>
            <c:strRef>
              <c:f>Лист1!$C$38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Лист1!$A$41:$A$44</c:f>
              <c:strCache>
                <c:ptCount val="4"/>
                <c:pt idx="0">
                  <c:v>Валовая прибыль</c:v>
                </c:pt>
                <c:pt idx="1">
                  <c:v>Прибыль от продаж</c:v>
                </c:pt>
                <c:pt idx="2">
                  <c:v>Прибыль до налогообложения</c:v>
                </c:pt>
                <c:pt idx="3">
                  <c:v>Чистая прибыль</c:v>
                </c:pt>
              </c:strCache>
            </c:strRef>
          </c:cat>
          <c:val>
            <c:numRef>
              <c:f>Лист1!$C$41:$C$44</c:f>
              <c:numCache>
                <c:formatCode>General</c:formatCode>
                <c:ptCount val="4"/>
                <c:pt idx="0">
                  <c:v>5425199</c:v>
                </c:pt>
                <c:pt idx="1">
                  <c:v>404248</c:v>
                </c:pt>
                <c:pt idx="2">
                  <c:v>415396</c:v>
                </c:pt>
                <c:pt idx="3">
                  <c:v>385924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E5-439D-A1F9-77173CA01C51}"/>
            </c:ext>
          </c:extLst>
        </c:ser>
        <c:ser>
          <c:idx val="2"/>
          <c:order val="2"/>
          <c:tx>
            <c:strRef>
              <c:f>Лист1!$D$38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Лист1!$A$41:$A$44</c:f>
              <c:strCache>
                <c:ptCount val="4"/>
                <c:pt idx="0">
                  <c:v>Валовая прибыль</c:v>
                </c:pt>
                <c:pt idx="1">
                  <c:v>Прибыль от продаж</c:v>
                </c:pt>
                <c:pt idx="2">
                  <c:v>Прибыль до налогообложения</c:v>
                </c:pt>
                <c:pt idx="3">
                  <c:v>Чистая прибыль</c:v>
                </c:pt>
              </c:strCache>
            </c:strRef>
          </c:cat>
          <c:val>
            <c:numRef>
              <c:f>Лист1!$D$41:$D$44</c:f>
              <c:numCache>
                <c:formatCode>General</c:formatCode>
                <c:ptCount val="4"/>
                <c:pt idx="0">
                  <c:v>7116625</c:v>
                </c:pt>
                <c:pt idx="1">
                  <c:v>1442947</c:v>
                </c:pt>
                <c:pt idx="2">
                  <c:v>2620142</c:v>
                </c:pt>
                <c:pt idx="3">
                  <c:v>2091775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E5-439D-A1F9-77173CA01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4900992"/>
        <c:axId val="414902528"/>
      </c:barChart>
      <c:catAx>
        <c:axId val="41490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4902528"/>
        <c:crosses val="autoZero"/>
        <c:auto val="1"/>
        <c:lblAlgn val="ctr"/>
        <c:lblOffset val="100"/>
        <c:noMultiLvlLbl val="0"/>
      </c:catAx>
      <c:valAx>
        <c:axId val="41490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490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6698427822772743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0-42FD-85A3-B74E9E72F3B5}"/>
                </c:ext>
              </c:extLst>
            </c:dLbl>
            <c:dLbl>
              <c:idx val="1"/>
              <c:layout>
                <c:manualLayout>
                  <c:x val="-3.8113387327298714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0-42FD-85A3-B74E9E72F3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Лист1!$B$91:$D$92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Лист1!$B$93:$D$93</c:f>
              <c:numCache>
                <c:formatCode>0.000</c:formatCode>
                <c:ptCount val="3"/>
                <c:pt idx="0">
                  <c:v>0.71455104288029125</c:v>
                </c:pt>
                <c:pt idx="1">
                  <c:v>0.84753224842846497</c:v>
                </c:pt>
                <c:pt idx="2">
                  <c:v>0.87950282740052887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10-42FD-85A3-B74E9E72F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755712"/>
        <c:axId val="416757248"/>
      </c:lineChart>
      <c:catAx>
        <c:axId val="4167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6757248"/>
        <c:crosses val="autoZero"/>
        <c:auto val="1"/>
        <c:lblAlgn val="ctr"/>
        <c:lblOffset val="100"/>
        <c:noMultiLvlLbl val="0"/>
      </c:catAx>
      <c:valAx>
        <c:axId val="416757248"/>
        <c:scaling>
          <c:orientation val="minMax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675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Лист1!$A$116:$A$119</c:f>
              <c:strCache>
                <c:ptCount val="4"/>
                <c:pt idx="0">
                  <c:v>совокупного капитала</c:v>
                </c:pt>
                <c:pt idx="1">
                  <c:v> основного капитала</c:v>
                </c:pt>
                <c:pt idx="2">
                  <c:v>текущего капитала</c:v>
                </c:pt>
                <c:pt idx="3">
                  <c:v>собственного капитала</c:v>
                </c:pt>
              </c:strCache>
            </c:strRef>
          </c:cat>
          <c:val>
            <c:numRef>
              <c:f>Лист1!$B$116:$B$119</c:f>
              <c:numCache>
                <c:formatCode>0.00</c:formatCode>
                <c:ptCount val="4"/>
                <c:pt idx="0">
                  <c:v>4.3180502680645674</c:v>
                </c:pt>
                <c:pt idx="1">
                  <c:v>15.914211807977601</c:v>
                </c:pt>
                <c:pt idx="2">
                  <c:v>5.9512846268264319</c:v>
                </c:pt>
                <c:pt idx="3">
                  <c:v>11.63131887397752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A-45EE-A917-248C696C68CD}"/>
            </c:ext>
          </c:extLst>
        </c:ser>
        <c:ser>
          <c:idx val="1"/>
          <c:order val="1"/>
          <c:tx>
            <c:strRef>
              <c:f>Лист1!$C$115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Лист1!$A$116:$A$119</c:f>
              <c:strCache>
                <c:ptCount val="4"/>
                <c:pt idx="0">
                  <c:v>совокупного капитала</c:v>
                </c:pt>
                <c:pt idx="1">
                  <c:v> основного капитала</c:v>
                </c:pt>
                <c:pt idx="2">
                  <c:v>текущего капитала</c:v>
                </c:pt>
                <c:pt idx="3">
                  <c:v>собственного капитала</c:v>
                </c:pt>
              </c:strCache>
            </c:strRef>
          </c:cat>
          <c:val>
            <c:numRef>
              <c:f>Лист1!$C$116:$C$119</c:f>
              <c:numCache>
                <c:formatCode>0.00</c:formatCode>
                <c:ptCount val="4"/>
                <c:pt idx="0">
                  <c:v>4.3033032471893398</c:v>
                </c:pt>
                <c:pt idx="1">
                  <c:v>17.670776610889863</c:v>
                </c:pt>
                <c:pt idx="2">
                  <c:v>5.7121447061105064</c:v>
                </c:pt>
                <c:pt idx="3">
                  <c:v>13.24688086769782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A-45EE-A917-248C696C68CD}"/>
            </c:ext>
          </c:extLst>
        </c:ser>
        <c:ser>
          <c:idx val="2"/>
          <c:order val="2"/>
          <c:tx>
            <c:strRef>
              <c:f>Лист1!$D$115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Лист1!$A$116:$A$119</c:f>
              <c:strCache>
                <c:ptCount val="4"/>
                <c:pt idx="0">
                  <c:v>совокупного капитала</c:v>
                </c:pt>
                <c:pt idx="1">
                  <c:v> основного капитала</c:v>
                </c:pt>
                <c:pt idx="2">
                  <c:v>текущего капитала</c:v>
                </c:pt>
                <c:pt idx="3">
                  <c:v>собственного капитала</c:v>
                </c:pt>
              </c:strCache>
            </c:strRef>
          </c:cat>
          <c:val>
            <c:numRef>
              <c:f>Лист1!$D$116:$D$119</c:f>
              <c:numCache>
                <c:formatCode>0.00</c:formatCode>
                <c:ptCount val="4"/>
                <c:pt idx="0">
                  <c:v>4.1043008251050548</c:v>
                </c:pt>
                <c:pt idx="1">
                  <c:v>17.909565798229391</c:v>
                </c:pt>
                <c:pt idx="2">
                  <c:v>5.3621097843500918</c:v>
                </c:pt>
                <c:pt idx="3">
                  <c:v>13.390527720775424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A-45EE-A917-248C696C6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810112"/>
        <c:axId val="416812032"/>
      </c:barChart>
      <c:catAx>
        <c:axId val="41681011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коэффициенты оборачиваемости, обороты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6812032"/>
        <c:crosses val="autoZero"/>
        <c:auto val="1"/>
        <c:lblAlgn val="ctr"/>
        <c:lblOffset val="100"/>
        <c:noMultiLvlLbl val="0"/>
      </c:catAx>
      <c:valAx>
        <c:axId val="4168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1681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6F6E9E-6525-47B4-9CF0-9080E0FB45CB}" type="doc">
      <dgm:prSet loTypeId="urn:microsoft.com/office/officeart/2005/8/layout/hierarchy1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8A5C7C77-F9A9-43B1-9697-74A53F94A6B6}">
      <dgm:prSet phldrT="[Текст]" custT="1"/>
      <dgm:spPr>
        <a:xfrm>
          <a:off x="382670" y="128427"/>
          <a:ext cx="4995071" cy="6736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Источники информации анализа финансового состояния  предприятия</a:t>
          </a:r>
        </a:p>
      </dgm:t>
    </dgm:pt>
    <dgm:pt modelId="{DE25B7D6-55D0-42EB-B1D5-74620E9D1918}" type="parTrans" cxnId="{1E5E5325-2B0C-4D17-9A88-A70928631B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0D0F86-8C41-489B-AD1E-2826E484A091}" type="sibTrans" cxnId="{1E5E5325-2B0C-4D17-9A88-A70928631B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B7E1A5-26AF-4852-8CDE-E4F040D63A16}">
      <dgm:prSet phldrT="[Текст]"/>
      <dgm:spPr>
        <a:xfrm>
          <a:off x="274947" y="1110594"/>
          <a:ext cx="1460786" cy="6736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учетные</a:t>
          </a:r>
        </a:p>
      </dgm:t>
    </dgm:pt>
    <dgm:pt modelId="{55D62D57-D1A8-417C-AD02-F73868842D1E}" type="parTrans" cxnId="{7D421C80-470C-4528-B236-BE8CC84C36F4}">
      <dgm:prSet/>
      <dgm:spPr>
        <a:xfrm>
          <a:off x="887468" y="690086"/>
          <a:ext cx="1874866" cy="308529"/>
        </a:xfr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840F69-D392-4718-BE69-2399CF5F4F79}" type="sibTrans" cxnId="{7D421C80-470C-4528-B236-BE8CC84C36F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B2B2D1-47F2-42A4-8641-910B2E2C11D3}">
      <dgm:prSet phldrT="[Текст]"/>
      <dgm:spPr>
        <a:xfrm>
          <a:off x="118806" y="2092761"/>
          <a:ext cx="1773067" cy="19612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t" anchorCtr="0"/>
        <a:lstStyle/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первичная учетная документация;</a:t>
          </a:r>
        </a:p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оперативная отчетность;</a:t>
          </a:r>
        </a:p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основные формы бухгалтерской отчетности</a:t>
          </a:r>
        </a:p>
      </dgm:t>
    </dgm:pt>
    <dgm:pt modelId="{BB37F8F0-917C-4221-9DE9-D49F80E2642E}" type="parTrans" cxnId="{DB0B570C-EA9E-4832-8751-72DF2A8D2C5C}">
      <dgm:prSet/>
      <dgm:spPr>
        <a:xfrm>
          <a:off x="841748" y="1672253"/>
          <a:ext cx="91440" cy="308529"/>
        </a:xfr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DE73D4-4A9C-4C26-94FB-08DDB02F293A}" type="sibTrans" cxnId="{DB0B570C-EA9E-4832-8751-72DF2A8D2C5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2E01C3-3771-450D-A858-C1872F34CD82}">
      <dgm:prSet phldrT="[Текст]"/>
      <dgm:spPr>
        <a:xfrm>
          <a:off x="2263909" y="1110594"/>
          <a:ext cx="1396180" cy="6736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внеучетные</a:t>
          </a:r>
        </a:p>
      </dgm:t>
    </dgm:pt>
    <dgm:pt modelId="{724109CF-85E5-4D4B-9C06-ECC27ED2CD62}" type="parTrans" cxnId="{CE91B4BB-0F60-4C70-8C4A-267CEC49CF62}">
      <dgm:prSet/>
      <dgm:spPr>
        <a:xfrm>
          <a:off x="2716614" y="690086"/>
          <a:ext cx="91440" cy="308529"/>
        </a:xfr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32B257-86FF-451B-8089-7F443738AE8A}" type="sibTrans" cxnId="{CE91B4BB-0F60-4C70-8C4A-267CEC49CF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F0BDA4-E3E3-42CA-B757-585207A1E396}">
      <dgm:prSet phldrT="[Текст]"/>
      <dgm:spPr>
        <a:xfrm>
          <a:off x="2127617" y="2092761"/>
          <a:ext cx="1668765" cy="1988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t" anchorCtr="0"/>
        <a:lstStyle/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устав организации;</a:t>
          </a:r>
        </a:p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оперативные планы;</a:t>
          </a:r>
        </a:p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хозяйственные договоры</a:t>
          </a:r>
        </a:p>
      </dgm:t>
    </dgm:pt>
    <dgm:pt modelId="{113710D9-16BE-44DD-9454-A47522DDC03D}" type="parTrans" cxnId="{98F942D1-91C5-4855-98BF-F2C99DD09300}">
      <dgm:prSet/>
      <dgm:spPr>
        <a:xfrm>
          <a:off x="2798408" y="1672253"/>
          <a:ext cx="91440" cy="308529"/>
        </a:xfr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29E77-0D91-404B-A77D-3B4543380F85}" type="sibTrans" cxnId="{98F942D1-91C5-4855-98BF-F2C99DD0930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57E465-42B5-4E0B-BF3B-45AFC978EC76}">
      <dgm:prSet/>
      <dgm:spPr>
        <a:xfrm>
          <a:off x="3974236" y="1110594"/>
          <a:ext cx="1511229" cy="6736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нормативные</a:t>
          </a:r>
        </a:p>
      </dgm:t>
    </dgm:pt>
    <dgm:pt modelId="{28022DFD-3FAF-4400-8160-ABCED9B2D31B}" type="parTrans" cxnId="{D68158CB-A7B5-41CB-95F2-653C0FE18301}">
      <dgm:prSet/>
      <dgm:spPr>
        <a:xfrm>
          <a:off x="2762334" y="690086"/>
          <a:ext cx="1849644" cy="308529"/>
        </a:xfr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1FF14-BA8E-4AB9-AB7A-A55A9E061DDB}" type="sibTrans" cxnId="{D68158CB-A7B5-41CB-95F2-653C0FE1830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2FE22-BB6F-4B07-ADDA-62EA3F0C62F7}">
      <dgm:prSet/>
      <dgm:spPr>
        <a:xfrm>
          <a:off x="4032126" y="2092761"/>
          <a:ext cx="1395448" cy="19971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t" anchorCtr="0"/>
        <a:lstStyle/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нормативно - правовые акты;</a:t>
          </a:r>
        </a:p>
        <a:p>
          <a:pPr algn="l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стратегические планы</a:t>
          </a:r>
        </a:p>
      </dgm:t>
    </dgm:pt>
    <dgm:pt modelId="{ACFB513C-2375-4DF9-B3F1-943D17DC6BB4}" type="parTrans" cxnId="{44D1DCC8-E75B-4FB4-B815-1CB6A3D604AD}">
      <dgm:prSet/>
      <dgm:spPr>
        <a:xfrm>
          <a:off x="4566259" y="1672253"/>
          <a:ext cx="91440" cy="308529"/>
        </a:xfr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566651-9155-46EB-8E32-9435403A0264}" type="sibTrans" cxnId="{44D1DCC8-E75B-4FB4-B815-1CB6A3D604A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9DE1DB-D227-4D83-B4D2-0FB6ED6925E8}" type="pres">
      <dgm:prSet presAssocID="{5C6F6E9E-6525-47B4-9CF0-9080E0FB45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F59403F-BF30-45A1-9AD5-9AABC6574186}" type="pres">
      <dgm:prSet presAssocID="{8A5C7C77-F9A9-43B1-9697-74A53F94A6B6}" presName="hierRoot1" presStyleCnt="0"/>
      <dgm:spPr/>
    </dgm:pt>
    <dgm:pt modelId="{F219A1EB-C634-4966-A601-2B73C27D64A4}" type="pres">
      <dgm:prSet presAssocID="{8A5C7C77-F9A9-43B1-9697-74A53F94A6B6}" presName="composite" presStyleCnt="0"/>
      <dgm:spPr/>
    </dgm:pt>
    <dgm:pt modelId="{25C13CFF-E925-4450-A737-1644AC9D1228}" type="pres">
      <dgm:prSet presAssocID="{8A5C7C77-F9A9-43B1-9697-74A53F94A6B6}" presName="background" presStyleLbl="node0" presStyleIdx="0" presStyleCn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264798" y="16448"/>
          <a:ext cx="4995071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F7F55B06-AFEA-491F-81BD-CBB69D22A683}" type="pres">
      <dgm:prSet presAssocID="{8A5C7C77-F9A9-43B1-9697-74A53F94A6B6}" presName="text" presStyleLbl="fgAcc0" presStyleIdx="0" presStyleCnt="1" custScaleX="47085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C7B5E66-AE1C-470E-AC2F-57DBE571D03A}" type="pres">
      <dgm:prSet presAssocID="{8A5C7C77-F9A9-43B1-9697-74A53F94A6B6}" presName="hierChild2" presStyleCnt="0"/>
      <dgm:spPr/>
    </dgm:pt>
    <dgm:pt modelId="{D779C073-073C-49B1-B7DA-C43588A846E9}" type="pres">
      <dgm:prSet presAssocID="{55D62D57-D1A8-417C-AD02-F73868842D1E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74866" y="0"/>
              </a:moveTo>
              <a:lnTo>
                <a:pt x="1874866" y="210253"/>
              </a:lnTo>
              <a:lnTo>
                <a:pt x="0" y="210253"/>
              </a:lnTo>
              <a:lnTo>
                <a:pt x="0" y="308529"/>
              </a:lnTo>
            </a:path>
          </a:pathLst>
        </a:custGeom>
      </dgm:spPr>
    </dgm:pt>
    <dgm:pt modelId="{DB86CF75-7681-4BF7-9436-5FE2CE7A0910}" type="pres">
      <dgm:prSet presAssocID="{FAB7E1A5-26AF-4852-8CDE-E4F040D63A16}" presName="hierRoot2" presStyleCnt="0"/>
      <dgm:spPr/>
    </dgm:pt>
    <dgm:pt modelId="{F72769A2-A350-4A89-B7A1-B5FEAFE6562F}" type="pres">
      <dgm:prSet presAssocID="{FAB7E1A5-26AF-4852-8CDE-E4F040D63A16}" presName="composite2" presStyleCnt="0"/>
      <dgm:spPr/>
    </dgm:pt>
    <dgm:pt modelId="{F29AFEE0-46A7-4385-8EFF-30B106B1C7F6}" type="pres">
      <dgm:prSet presAssocID="{FAB7E1A5-26AF-4852-8CDE-E4F040D63A16}" presName="background2" presStyleLbl="node2" presStyleIdx="0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57075" y="998616"/>
          <a:ext cx="1460786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5F129979-FB0C-47CB-9679-5AEECB9CF655}" type="pres">
      <dgm:prSet presAssocID="{FAB7E1A5-26AF-4852-8CDE-E4F040D63A16}" presName="text2" presStyleLbl="fgAcc2" presStyleIdx="0" presStyleCnt="3" custScaleX="1377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B8A1A7-D9CC-4D69-BFB6-76BFD6A08BAF}" type="pres">
      <dgm:prSet presAssocID="{FAB7E1A5-26AF-4852-8CDE-E4F040D63A16}" presName="hierChild3" presStyleCnt="0"/>
      <dgm:spPr/>
    </dgm:pt>
    <dgm:pt modelId="{1146E469-E23D-4ACC-BE3B-BE8E42D59C3F}" type="pres">
      <dgm:prSet presAssocID="{BB37F8F0-917C-4221-9DE9-D49F80E2642E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</dgm:spPr>
    </dgm:pt>
    <dgm:pt modelId="{72846E8A-AC16-4CE4-9C91-0B39134A8063}" type="pres">
      <dgm:prSet presAssocID="{B5B2B2D1-47F2-42A4-8641-910B2E2C11D3}" presName="hierRoot3" presStyleCnt="0"/>
      <dgm:spPr/>
    </dgm:pt>
    <dgm:pt modelId="{5BD026AD-3EB6-496A-B00E-7AEB8FBAA2B8}" type="pres">
      <dgm:prSet presAssocID="{B5B2B2D1-47F2-42A4-8641-910B2E2C11D3}" presName="composite3" presStyleCnt="0"/>
      <dgm:spPr/>
    </dgm:pt>
    <dgm:pt modelId="{C08E6E4A-8449-46CF-8D78-A3918765242D}" type="pres">
      <dgm:prSet presAssocID="{B5B2B2D1-47F2-42A4-8641-910B2E2C11D3}" presName="background3" presStyleLbl="node3" presStyleIdx="0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934" y="1980783"/>
          <a:ext cx="1773067" cy="1961262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667179F8-AC1D-4646-8210-66D5FE790AC3}" type="pres">
      <dgm:prSet presAssocID="{B5B2B2D1-47F2-42A4-8641-910B2E2C11D3}" presName="text3" presStyleLbl="fgAcc3" presStyleIdx="0" presStyleCnt="3" custScaleX="167137" custScaleY="29114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0374DDF-2C1C-4909-BA8C-297A4BF6AE56}" type="pres">
      <dgm:prSet presAssocID="{B5B2B2D1-47F2-42A4-8641-910B2E2C11D3}" presName="hierChild4" presStyleCnt="0"/>
      <dgm:spPr/>
    </dgm:pt>
    <dgm:pt modelId="{E5E71993-1AFF-49BF-A772-F30214299ACE}" type="pres">
      <dgm:prSet presAssocID="{724109CF-85E5-4D4B-9C06-ECC27ED2CD62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253"/>
              </a:lnTo>
              <a:lnTo>
                <a:pt x="127513" y="210253"/>
              </a:lnTo>
              <a:lnTo>
                <a:pt x="127513" y="308529"/>
              </a:lnTo>
            </a:path>
          </a:pathLst>
        </a:custGeom>
      </dgm:spPr>
    </dgm:pt>
    <dgm:pt modelId="{3E879E51-0F55-4186-9927-210665F7858D}" type="pres">
      <dgm:prSet presAssocID="{642E01C3-3771-450D-A858-C1872F34CD82}" presName="hierRoot2" presStyleCnt="0"/>
      <dgm:spPr/>
    </dgm:pt>
    <dgm:pt modelId="{4678C9E3-CDD7-4FB5-8D71-6B9B6F85B612}" type="pres">
      <dgm:prSet presAssocID="{642E01C3-3771-450D-A858-C1872F34CD82}" presName="composite2" presStyleCnt="0"/>
      <dgm:spPr/>
    </dgm:pt>
    <dgm:pt modelId="{14D9025A-9415-4588-A2B9-E9CAC5A8CA22}" type="pres">
      <dgm:prSet presAssocID="{642E01C3-3771-450D-A858-C1872F34CD82}" presName="background2" presStyleLbl="node2" presStyleIdx="1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2146038" y="998616"/>
          <a:ext cx="1396180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CF2F16F7-153D-4C2D-A2FC-00709D4446AB}" type="pres">
      <dgm:prSet presAssocID="{642E01C3-3771-450D-A858-C1872F34CD82}" presName="text2" presStyleLbl="fgAcc2" presStyleIdx="1" presStyleCnt="3" custScaleX="13161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A1B5BC-D889-40D4-8730-36D28248FF39}" type="pres">
      <dgm:prSet presAssocID="{642E01C3-3771-450D-A858-C1872F34CD82}" presName="hierChild3" presStyleCnt="0"/>
      <dgm:spPr/>
    </dgm:pt>
    <dgm:pt modelId="{6F7F91CE-8A96-40DD-BCA0-504CC8FF92E4}" type="pres">
      <dgm:prSet presAssocID="{113710D9-16BE-44DD-9454-A47522DDC03D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</dgm:spPr>
    </dgm:pt>
    <dgm:pt modelId="{7D5BB440-29B6-4176-8975-8A9ED6F628F4}" type="pres">
      <dgm:prSet presAssocID="{26F0BDA4-E3E3-42CA-B757-585207A1E396}" presName="hierRoot3" presStyleCnt="0"/>
      <dgm:spPr/>
    </dgm:pt>
    <dgm:pt modelId="{67ED6ACB-BC19-4AA5-9061-4A54B0F356CA}" type="pres">
      <dgm:prSet presAssocID="{26F0BDA4-E3E3-42CA-B757-585207A1E396}" presName="composite3" presStyleCnt="0"/>
      <dgm:spPr/>
    </dgm:pt>
    <dgm:pt modelId="{A43483E8-1E6C-417F-886D-E3B3FF2A602D}" type="pres">
      <dgm:prSet presAssocID="{26F0BDA4-E3E3-42CA-B757-585207A1E396}" presName="background3" presStyleLbl="node3" presStyleIdx="1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2009745" y="1980783"/>
          <a:ext cx="1668765" cy="198831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4157CFDD-14A0-498F-876C-B0039C024F06}" type="pres">
      <dgm:prSet presAssocID="{26F0BDA4-E3E3-42CA-B757-585207A1E396}" presName="text3" presStyleLbl="fgAcc3" presStyleIdx="1" presStyleCnt="3" custScaleX="157305" custScaleY="2951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D5F43C9-C1B4-4443-9225-F8BA9E5D37F6}" type="pres">
      <dgm:prSet presAssocID="{26F0BDA4-E3E3-42CA-B757-585207A1E396}" presName="hierChild4" presStyleCnt="0"/>
      <dgm:spPr/>
    </dgm:pt>
    <dgm:pt modelId="{AF3FE77E-6FF5-4F02-AA07-B61A530BAC88}" type="pres">
      <dgm:prSet presAssocID="{28022DFD-3FAF-4400-8160-ABCED9B2D31B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53"/>
              </a:lnTo>
              <a:lnTo>
                <a:pt x="1849644" y="210253"/>
              </a:lnTo>
              <a:lnTo>
                <a:pt x="1849644" y="308529"/>
              </a:lnTo>
            </a:path>
          </a:pathLst>
        </a:custGeom>
      </dgm:spPr>
    </dgm:pt>
    <dgm:pt modelId="{7C158A39-EF1E-4F98-841E-C3123E2F2B0A}" type="pres">
      <dgm:prSet presAssocID="{5857E465-42B5-4E0B-BF3B-45AFC978EC76}" presName="hierRoot2" presStyleCnt="0"/>
      <dgm:spPr/>
    </dgm:pt>
    <dgm:pt modelId="{968B28A0-15D8-4A93-BEE4-025E8972EB36}" type="pres">
      <dgm:prSet presAssocID="{5857E465-42B5-4E0B-BF3B-45AFC978EC76}" presName="composite2" presStyleCnt="0"/>
      <dgm:spPr/>
    </dgm:pt>
    <dgm:pt modelId="{602E3ABB-5DA6-46D4-9C21-B28DB1E53D8E}" type="pres">
      <dgm:prSet presAssocID="{5857E465-42B5-4E0B-BF3B-45AFC978EC76}" presName="background2" presStyleLbl="node2" presStyleIdx="2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856364" y="998616"/>
          <a:ext cx="1511229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6C010D42-F26D-4149-AB6B-35D46AD8F016}" type="pres">
      <dgm:prSet presAssocID="{5857E465-42B5-4E0B-BF3B-45AFC978EC76}" presName="text2" presStyleLbl="fgAcc2" presStyleIdx="2" presStyleCnt="3" custScaleX="1424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BFA0E39-4549-4627-88A1-27317B91D87D}" type="pres">
      <dgm:prSet presAssocID="{5857E465-42B5-4E0B-BF3B-45AFC978EC76}" presName="hierChild3" presStyleCnt="0"/>
      <dgm:spPr/>
    </dgm:pt>
    <dgm:pt modelId="{2C3C028F-8951-4470-9A52-714640BF688B}" type="pres">
      <dgm:prSet presAssocID="{ACFB513C-2375-4DF9-B3F1-943D17DC6BB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</dgm:spPr>
    </dgm:pt>
    <dgm:pt modelId="{82A9A54D-C861-42DB-9998-8DE9337AB34C}" type="pres">
      <dgm:prSet presAssocID="{3E22FE22-BB6F-4B07-ADDA-62EA3F0C62F7}" presName="hierRoot3" presStyleCnt="0"/>
      <dgm:spPr/>
    </dgm:pt>
    <dgm:pt modelId="{47E049E7-D6D0-42F0-91B9-73362892D32E}" type="pres">
      <dgm:prSet presAssocID="{3E22FE22-BB6F-4B07-ADDA-62EA3F0C62F7}" presName="composite3" presStyleCnt="0"/>
      <dgm:spPr/>
    </dgm:pt>
    <dgm:pt modelId="{AAD7640F-037C-435C-8D16-FA623AF9287A}" type="pres">
      <dgm:prSet presAssocID="{3E22FE22-BB6F-4B07-ADDA-62EA3F0C62F7}" presName="background3" presStyleLbl="node3" presStyleIdx="2" presStyleCnt="3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914254" y="1980783"/>
          <a:ext cx="1395448" cy="199717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335C0C0C-D613-43B7-908B-744BEDD775AA}" type="pres">
      <dgm:prSet presAssocID="{3E22FE22-BB6F-4B07-ADDA-62EA3F0C62F7}" presName="text3" presStyleLbl="fgAcc3" presStyleIdx="2" presStyleCnt="3" custScaleX="131541" custScaleY="2964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33EE7CD-0B8C-4BAD-B06F-5638A1B66498}" type="pres">
      <dgm:prSet presAssocID="{3E22FE22-BB6F-4B07-ADDA-62EA3F0C62F7}" presName="hierChild4" presStyleCnt="0"/>
      <dgm:spPr/>
    </dgm:pt>
  </dgm:ptLst>
  <dgm:cxnLst>
    <dgm:cxn modelId="{148EE90A-EECA-4E3E-9B21-24A9BE2ED563}" type="presOf" srcId="{BB37F8F0-917C-4221-9DE9-D49F80E2642E}" destId="{1146E469-E23D-4ACC-BE3B-BE8E42D59C3F}" srcOrd="0" destOrd="0" presId="urn:microsoft.com/office/officeart/2005/8/layout/hierarchy1"/>
    <dgm:cxn modelId="{DB0B570C-EA9E-4832-8751-72DF2A8D2C5C}" srcId="{FAB7E1A5-26AF-4852-8CDE-E4F040D63A16}" destId="{B5B2B2D1-47F2-42A4-8641-910B2E2C11D3}" srcOrd="0" destOrd="0" parTransId="{BB37F8F0-917C-4221-9DE9-D49F80E2642E}" sibTransId="{70DE73D4-4A9C-4C26-94FB-08DDB02F293A}"/>
    <dgm:cxn modelId="{1E5E5325-2B0C-4D17-9A88-A70928631B42}" srcId="{5C6F6E9E-6525-47B4-9CF0-9080E0FB45CB}" destId="{8A5C7C77-F9A9-43B1-9697-74A53F94A6B6}" srcOrd="0" destOrd="0" parTransId="{DE25B7D6-55D0-42EB-B1D5-74620E9D1918}" sibTransId="{620D0F86-8C41-489B-AD1E-2826E484A091}"/>
    <dgm:cxn modelId="{E94EB12B-DDAF-4C66-A5AA-04B5230D0B5D}" type="presOf" srcId="{8A5C7C77-F9A9-43B1-9697-74A53F94A6B6}" destId="{F7F55B06-AFEA-491F-81BD-CBB69D22A683}" srcOrd="0" destOrd="0" presId="urn:microsoft.com/office/officeart/2005/8/layout/hierarchy1"/>
    <dgm:cxn modelId="{F0084C62-580D-4D07-BAB5-9601C466B23C}" type="presOf" srcId="{113710D9-16BE-44DD-9454-A47522DDC03D}" destId="{6F7F91CE-8A96-40DD-BCA0-504CC8FF92E4}" srcOrd="0" destOrd="0" presId="urn:microsoft.com/office/officeart/2005/8/layout/hierarchy1"/>
    <dgm:cxn modelId="{1C75F363-FCF5-4CA3-92C5-29D2D52404D5}" type="presOf" srcId="{B5B2B2D1-47F2-42A4-8641-910B2E2C11D3}" destId="{667179F8-AC1D-4646-8210-66D5FE790AC3}" srcOrd="0" destOrd="0" presId="urn:microsoft.com/office/officeart/2005/8/layout/hierarchy1"/>
    <dgm:cxn modelId="{712E3B45-C0C3-44DF-93D4-FD12BF29041D}" type="presOf" srcId="{ACFB513C-2375-4DF9-B3F1-943D17DC6BB4}" destId="{2C3C028F-8951-4470-9A52-714640BF688B}" srcOrd="0" destOrd="0" presId="urn:microsoft.com/office/officeart/2005/8/layout/hierarchy1"/>
    <dgm:cxn modelId="{168F6D65-E4F1-4F1E-B633-A9203341B687}" type="presOf" srcId="{26F0BDA4-E3E3-42CA-B757-585207A1E396}" destId="{4157CFDD-14A0-498F-876C-B0039C024F06}" srcOrd="0" destOrd="0" presId="urn:microsoft.com/office/officeart/2005/8/layout/hierarchy1"/>
    <dgm:cxn modelId="{4ACD0766-F64B-42C2-8501-337AB6704BD4}" type="presOf" srcId="{5C6F6E9E-6525-47B4-9CF0-9080E0FB45CB}" destId="{EF9DE1DB-D227-4D83-B4D2-0FB6ED6925E8}" srcOrd="0" destOrd="0" presId="urn:microsoft.com/office/officeart/2005/8/layout/hierarchy1"/>
    <dgm:cxn modelId="{2502CC68-8DAC-406D-81FE-AB40BE761A37}" type="presOf" srcId="{5857E465-42B5-4E0B-BF3B-45AFC978EC76}" destId="{6C010D42-F26D-4149-AB6B-35D46AD8F016}" srcOrd="0" destOrd="0" presId="urn:microsoft.com/office/officeart/2005/8/layout/hierarchy1"/>
    <dgm:cxn modelId="{7D421C80-470C-4528-B236-BE8CC84C36F4}" srcId="{8A5C7C77-F9A9-43B1-9697-74A53F94A6B6}" destId="{FAB7E1A5-26AF-4852-8CDE-E4F040D63A16}" srcOrd="0" destOrd="0" parTransId="{55D62D57-D1A8-417C-AD02-F73868842D1E}" sibTransId="{4B840F69-D392-4718-BE69-2399CF5F4F79}"/>
    <dgm:cxn modelId="{18BB00A1-E42B-4288-8957-92402A072573}" type="presOf" srcId="{FAB7E1A5-26AF-4852-8CDE-E4F040D63A16}" destId="{5F129979-FB0C-47CB-9679-5AEECB9CF655}" srcOrd="0" destOrd="0" presId="urn:microsoft.com/office/officeart/2005/8/layout/hierarchy1"/>
    <dgm:cxn modelId="{52E16CA9-1F3A-40E9-AA6E-FD3702D7E290}" type="presOf" srcId="{642E01C3-3771-450D-A858-C1872F34CD82}" destId="{CF2F16F7-153D-4C2D-A2FC-00709D4446AB}" srcOrd="0" destOrd="0" presId="urn:microsoft.com/office/officeart/2005/8/layout/hierarchy1"/>
    <dgm:cxn modelId="{CE91B4BB-0F60-4C70-8C4A-267CEC49CF62}" srcId="{8A5C7C77-F9A9-43B1-9697-74A53F94A6B6}" destId="{642E01C3-3771-450D-A858-C1872F34CD82}" srcOrd="1" destOrd="0" parTransId="{724109CF-85E5-4D4B-9C06-ECC27ED2CD62}" sibTransId="{7F32B257-86FF-451B-8089-7F443738AE8A}"/>
    <dgm:cxn modelId="{07662ABC-E98E-40DF-B805-C5CC9A089C83}" type="presOf" srcId="{3E22FE22-BB6F-4B07-ADDA-62EA3F0C62F7}" destId="{335C0C0C-D613-43B7-908B-744BEDD775AA}" srcOrd="0" destOrd="0" presId="urn:microsoft.com/office/officeart/2005/8/layout/hierarchy1"/>
    <dgm:cxn modelId="{44D1DCC8-E75B-4FB4-B815-1CB6A3D604AD}" srcId="{5857E465-42B5-4E0B-BF3B-45AFC978EC76}" destId="{3E22FE22-BB6F-4B07-ADDA-62EA3F0C62F7}" srcOrd="0" destOrd="0" parTransId="{ACFB513C-2375-4DF9-B3F1-943D17DC6BB4}" sibTransId="{9D566651-9155-46EB-8E32-9435403A0264}"/>
    <dgm:cxn modelId="{D68158CB-A7B5-41CB-95F2-653C0FE18301}" srcId="{8A5C7C77-F9A9-43B1-9697-74A53F94A6B6}" destId="{5857E465-42B5-4E0B-BF3B-45AFC978EC76}" srcOrd="2" destOrd="0" parTransId="{28022DFD-3FAF-4400-8160-ABCED9B2D31B}" sibTransId="{F2C1FF14-BA8E-4AB9-AB7A-A55A9E061DDB}"/>
    <dgm:cxn modelId="{98F942D1-91C5-4855-98BF-F2C99DD09300}" srcId="{642E01C3-3771-450D-A858-C1872F34CD82}" destId="{26F0BDA4-E3E3-42CA-B757-585207A1E396}" srcOrd="0" destOrd="0" parTransId="{113710D9-16BE-44DD-9454-A47522DDC03D}" sibTransId="{C6E29E77-0D91-404B-A77D-3B4543380F85}"/>
    <dgm:cxn modelId="{01664EE3-9E97-4F02-9AA2-C08B39ABEFB9}" type="presOf" srcId="{55D62D57-D1A8-417C-AD02-F73868842D1E}" destId="{D779C073-073C-49B1-B7DA-C43588A846E9}" srcOrd="0" destOrd="0" presId="urn:microsoft.com/office/officeart/2005/8/layout/hierarchy1"/>
    <dgm:cxn modelId="{E75DDFEB-F6DE-4062-B1CE-C6DF5DE4FD2C}" type="presOf" srcId="{28022DFD-3FAF-4400-8160-ABCED9B2D31B}" destId="{AF3FE77E-6FF5-4F02-AA07-B61A530BAC88}" srcOrd="0" destOrd="0" presId="urn:microsoft.com/office/officeart/2005/8/layout/hierarchy1"/>
    <dgm:cxn modelId="{CF77EDF1-CFBC-44A2-9240-F4F01B3EC69A}" type="presOf" srcId="{724109CF-85E5-4D4B-9C06-ECC27ED2CD62}" destId="{E5E71993-1AFF-49BF-A772-F30214299ACE}" srcOrd="0" destOrd="0" presId="urn:microsoft.com/office/officeart/2005/8/layout/hierarchy1"/>
    <dgm:cxn modelId="{F7FD27C3-C304-4D8E-B84E-1FA06D7EE673}" type="presParOf" srcId="{EF9DE1DB-D227-4D83-B4D2-0FB6ED6925E8}" destId="{CF59403F-BF30-45A1-9AD5-9AABC6574186}" srcOrd="0" destOrd="0" presId="urn:microsoft.com/office/officeart/2005/8/layout/hierarchy1"/>
    <dgm:cxn modelId="{0172AC9D-5AF7-4F9F-9F63-E8325E5A642D}" type="presParOf" srcId="{CF59403F-BF30-45A1-9AD5-9AABC6574186}" destId="{F219A1EB-C634-4966-A601-2B73C27D64A4}" srcOrd="0" destOrd="0" presId="urn:microsoft.com/office/officeart/2005/8/layout/hierarchy1"/>
    <dgm:cxn modelId="{3F03D3CA-F104-470B-B5F8-6260A43F901C}" type="presParOf" srcId="{F219A1EB-C634-4966-A601-2B73C27D64A4}" destId="{25C13CFF-E925-4450-A737-1644AC9D1228}" srcOrd="0" destOrd="0" presId="urn:microsoft.com/office/officeart/2005/8/layout/hierarchy1"/>
    <dgm:cxn modelId="{DFA02AF8-9F65-400F-B8DC-23B8B70DE27A}" type="presParOf" srcId="{F219A1EB-C634-4966-A601-2B73C27D64A4}" destId="{F7F55B06-AFEA-491F-81BD-CBB69D22A683}" srcOrd="1" destOrd="0" presId="urn:microsoft.com/office/officeart/2005/8/layout/hierarchy1"/>
    <dgm:cxn modelId="{0E75EA34-E945-4148-ABCA-18AAAB3A76E9}" type="presParOf" srcId="{CF59403F-BF30-45A1-9AD5-9AABC6574186}" destId="{FC7B5E66-AE1C-470E-AC2F-57DBE571D03A}" srcOrd="1" destOrd="0" presId="urn:microsoft.com/office/officeart/2005/8/layout/hierarchy1"/>
    <dgm:cxn modelId="{FB7D51CB-A7C4-44F0-9E80-D17BF4B0C3E9}" type="presParOf" srcId="{FC7B5E66-AE1C-470E-AC2F-57DBE571D03A}" destId="{D779C073-073C-49B1-B7DA-C43588A846E9}" srcOrd="0" destOrd="0" presId="urn:microsoft.com/office/officeart/2005/8/layout/hierarchy1"/>
    <dgm:cxn modelId="{7851091D-E744-4882-9282-6F00769660C1}" type="presParOf" srcId="{FC7B5E66-AE1C-470E-AC2F-57DBE571D03A}" destId="{DB86CF75-7681-4BF7-9436-5FE2CE7A0910}" srcOrd="1" destOrd="0" presId="urn:microsoft.com/office/officeart/2005/8/layout/hierarchy1"/>
    <dgm:cxn modelId="{68690D17-BEDB-4D6A-9F6B-F845D8D61738}" type="presParOf" srcId="{DB86CF75-7681-4BF7-9436-5FE2CE7A0910}" destId="{F72769A2-A350-4A89-B7A1-B5FEAFE6562F}" srcOrd="0" destOrd="0" presId="urn:microsoft.com/office/officeart/2005/8/layout/hierarchy1"/>
    <dgm:cxn modelId="{9F6CB138-36AF-4E11-A265-315F53FFC5A7}" type="presParOf" srcId="{F72769A2-A350-4A89-B7A1-B5FEAFE6562F}" destId="{F29AFEE0-46A7-4385-8EFF-30B106B1C7F6}" srcOrd="0" destOrd="0" presId="urn:microsoft.com/office/officeart/2005/8/layout/hierarchy1"/>
    <dgm:cxn modelId="{2A3ACCD4-746D-45FC-AA86-1CA55F9FAF3C}" type="presParOf" srcId="{F72769A2-A350-4A89-B7A1-B5FEAFE6562F}" destId="{5F129979-FB0C-47CB-9679-5AEECB9CF655}" srcOrd="1" destOrd="0" presId="urn:microsoft.com/office/officeart/2005/8/layout/hierarchy1"/>
    <dgm:cxn modelId="{0FA78597-238A-4CA2-A43D-F5892D038B18}" type="presParOf" srcId="{DB86CF75-7681-4BF7-9436-5FE2CE7A0910}" destId="{F5B8A1A7-D9CC-4D69-BFB6-76BFD6A08BAF}" srcOrd="1" destOrd="0" presId="urn:microsoft.com/office/officeart/2005/8/layout/hierarchy1"/>
    <dgm:cxn modelId="{80755070-A779-4DF6-B532-E7A2CA7EFAA4}" type="presParOf" srcId="{F5B8A1A7-D9CC-4D69-BFB6-76BFD6A08BAF}" destId="{1146E469-E23D-4ACC-BE3B-BE8E42D59C3F}" srcOrd="0" destOrd="0" presId="urn:microsoft.com/office/officeart/2005/8/layout/hierarchy1"/>
    <dgm:cxn modelId="{BE622A2F-1FB8-4F2C-A9E0-A3DF19F9CA52}" type="presParOf" srcId="{F5B8A1A7-D9CC-4D69-BFB6-76BFD6A08BAF}" destId="{72846E8A-AC16-4CE4-9C91-0B39134A8063}" srcOrd="1" destOrd="0" presId="urn:microsoft.com/office/officeart/2005/8/layout/hierarchy1"/>
    <dgm:cxn modelId="{3A418674-74E8-4C77-90FC-C4AF3C71A138}" type="presParOf" srcId="{72846E8A-AC16-4CE4-9C91-0B39134A8063}" destId="{5BD026AD-3EB6-496A-B00E-7AEB8FBAA2B8}" srcOrd="0" destOrd="0" presId="urn:microsoft.com/office/officeart/2005/8/layout/hierarchy1"/>
    <dgm:cxn modelId="{5112DE65-9A89-4FAC-97F4-D0282351CECC}" type="presParOf" srcId="{5BD026AD-3EB6-496A-B00E-7AEB8FBAA2B8}" destId="{C08E6E4A-8449-46CF-8D78-A3918765242D}" srcOrd="0" destOrd="0" presId="urn:microsoft.com/office/officeart/2005/8/layout/hierarchy1"/>
    <dgm:cxn modelId="{6E32C449-7B7C-4E91-9C76-6C8BBA98ABA9}" type="presParOf" srcId="{5BD026AD-3EB6-496A-B00E-7AEB8FBAA2B8}" destId="{667179F8-AC1D-4646-8210-66D5FE790AC3}" srcOrd="1" destOrd="0" presId="urn:microsoft.com/office/officeart/2005/8/layout/hierarchy1"/>
    <dgm:cxn modelId="{1FD93B0E-E7AC-468F-83ED-344DD0F2F0FE}" type="presParOf" srcId="{72846E8A-AC16-4CE4-9C91-0B39134A8063}" destId="{20374DDF-2C1C-4909-BA8C-297A4BF6AE56}" srcOrd="1" destOrd="0" presId="urn:microsoft.com/office/officeart/2005/8/layout/hierarchy1"/>
    <dgm:cxn modelId="{C108E8C0-15C2-433F-9725-33638DE78513}" type="presParOf" srcId="{FC7B5E66-AE1C-470E-AC2F-57DBE571D03A}" destId="{E5E71993-1AFF-49BF-A772-F30214299ACE}" srcOrd="2" destOrd="0" presId="urn:microsoft.com/office/officeart/2005/8/layout/hierarchy1"/>
    <dgm:cxn modelId="{1B731D88-C831-47B4-AFCD-519C967CFBDF}" type="presParOf" srcId="{FC7B5E66-AE1C-470E-AC2F-57DBE571D03A}" destId="{3E879E51-0F55-4186-9927-210665F7858D}" srcOrd="3" destOrd="0" presId="urn:microsoft.com/office/officeart/2005/8/layout/hierarchy1"/>
    <dgm:cxn modelId="{34B711E0-33F4-4CEE-B32F-923065DD132D}" type="presParOf" srcId="{3E879E51-0F55-4186-9927-210665F7858D}" destId="{4678C9E3-CDD7-4FB5-8D71-6B9B6F85B612}" srcOrd="0" destOrd="0" presId="urn:microsoft.com/office/officeart/2005/8/layout/hierarchy1"/>
    <dgm:cxn modelId="{948D358C-6C92-49AE-A352-E9150C017144}" type="presParOf" srcId="{4678C9E3-CDD7-4FB5-8D71-6B9B6F85B612}" destId="{14D9025A-9415-4588-A2B9-E9CAC5A8CA22}" srcOrd="0" destOrd="0" presId="urn:microsoft.com/office/officeart/2005/8/layout/hierarchy1"/>
    <dgm:cxn modelId="{E5B6B0C5-D4AB-4300-9141-78492C21712B}" type="presParOf" srcId="{4678C9E3-CDD7-4FB5-8D71-6B9B6F85B612}" destId="{CF2F16F7-153D-4C2D-A2FC-00709D4446AB}" srcOrd="1" destOrd="0" presId="urn:microsoft.com/office/officeart/2005/8/layout/hierarchy1"/>
    <dgm:cxn modelId="{FB1881E9-221F-484D-A5D6-A473BA08D41E}" type="presParOf" srcId="{3E879E51-0F55-4186-9927-210665F7858D}" destId="{78A1B5BC-D889-40D4-8730-36D28248FF39}" srcOrd="1" destOrd="0" presId="urn:microsoft.com/office/officeart/2005/8/layout/hierarchy1"/>
    <dgm:cxn modelId="{3C3BDA9C-FB12-4652-B1D8-0DE6F34C2DDE}" type="presParOf" srcId="{78A1B5BC-D889-40D4-8730-36D28248FF39}" destId="{6F7F91CE-8A96-40DD-BCA0-504CC8FF92E4}" srcOrd="0" destOrd="0" presId="urn:microsoft.com/office/officeart/2005/8/layout/hierarchy1"/>
    <dgm:cxn modelId="{890C414C-EE43-4E7A-9ED6-40AAE6588620}" type="presParOf" srcId="{78A1B5BC-D889-40D4-8730-36D28248FF39}" destId="{7D5BB440-29B6-4176-8975-8A9ED6F628F4}" srcOrd="1" destOrd="0" presId="urn:microsoft.com/office/officeart/2005/8/layout/hierarchy1"/>
    <dgm:cxn modelId="{748D7727-C211-4DA8-BF74-1A86358A9C31}" type="presParOf" srcId="{7D5BB440-29B6-4176-8975-8A9ED6F628F4}" destId="{67ED6ACB-BC19-4AA5-9061-4A54B0F356CA}" srcOrd="0" destOrd="0" presId="urn:microsoft.com/office/officeart/2005/8/layout/hierarchy1"/>
    <dgm:cxn modelId="{445EB437-BD45-4166-968F-BEBC2ECA38E6}" type="presParOf" srcId="{67ED6ACB-BC19-4AA5-9061-4A54B0F356CA}" destId="{A43483E8-1E6C-417F-886D-E3B3FF2A602D}" srcOrd="0" destOrd="0" presId="urn:microsoft.com/office/officeart/2005/8/layout/hierarchy1"/>
    <dgm:cxn modelId="{CF510F57-2DF1-4D06-A576-7A82463D5B80}" type="presParOf" srcId="{67ED6ACB-BC19-4AA5-9061-4A54B0F356CA}" destId="{4157CFDD-14A0-498F-876C-B0039C024F06}" srcOrd="1" destOrd="0" presId="urn:microsoft.com/office/officeart/2005/8/layout/hierarchy1"/>
    <dgm:cxn modelId="{90259E41-DFB6-44FE-84ED-57AFC8308789}" type="presParOf" srcId="{7D5BB440-29B6-4176-8975-8A9ED6F628F4}" destId="{BD5F43C9-C1B4-4443-9225-F8BA9E5D37F6}" srcOrd="1" destOrd="0" presId="urn:microsoft.com/office/officeart/2005/8/layout/hierarchy1"/>
    <dgm:cxn modelId="{945F7BD1-78D9-4856-9E7D-3343AF0B3B47}" type="presParOf" srcId="{FC7B5E66-AE1C-470E-AC2F-57DBE571D03A}" destId="{AF3FE77E-6FF5-4F02-AA07-B61A530BAC88}" srcOrd="4" destOrd="0" presId="urn:microsoft.com/office/officeart/2005/8/layout/hierarchy1"/>
    <dgm:cxn modelId="{86BAC14E-05A8-4687-8B88-ACFE06382FBE}" type="presParOf" srcId="{FC7B5E66-AE1C-470E-AC2F-57DBE571D03A}" destId="{7C158A39-EF1E-4F98-841E-C3123E2F2B0A}" srcOrd="5" destOrd="0" presId="urn:microsoft.com/office/officeart/2005/8/layout/hierarchy1"/>
    <dgm:cxn modelId="{4C1DECFF-6D73-4D85-B0F0-43E86FBE3FB6}" type="presParOf" srcId="{7C158A39-EF1E-4F98-841E-C3123E2F2B0A}" destId="{968B28A0-15D8-4A93-BEE4-025E8972EB36}" srcOrd="0" destOrd="0" presId="urn:microsoft.com/office/officeart/2005/8/layout/hierarchy1"/>
    <dgm:cxn modelId="{181235F4-1C92-41ED-8947-B4A16F4B9084}" type="presParOf" srcId="{968B28A0-15D8-4A93-BEE4-025E8972EB36}" destId="{602E3ABB-5DA6-46D4-9C21-B28DB1E53D8E}" srcOrd="0" destOrd="0" presId="urn:microsoft.com/office/officeart/2005/8/layout/hierarchy1"/>
    <dgm:cxn modelId="{4EF5388C-1EA9-4E21-B6C5-B44359366643}" type="presParOf" srcId="{968B28A0-15D8-4A93-BEE4-025E8972EB36}" destId="{6C010D42-F26D-4149-AB6B-35D46AD8F016}" srcOrd="1" destOrd="0" presId="urn:microsoft.com/office/officeart/2005/8/layout/hierarchy1"/>
    <dgm:cxn modelId="{913D7A50-D334-450C-83DD-9D198A7F7D94}" type="presParOf" srcId="{7C158A39-EF1E-4F98-841E-C3123E2F2B0A}" destId="{5BFA0E39-4549-4627-88A1-27317B91D87D}" srcOrd="1" destOrd="0" presId="urn:microsoft.com/office/officeart/2005/8/layout/hierarchy1"/>
    <dgm:cxn modelId="{6B2B6824-4F90-4BBE-9A40-D7CB278DED0A}" type="presParOf" srcId="{5BFA0E39-4549-4627-88A1-27317B91D87D}" destId="{2C3C028F-8951-4470-9A52-714640BF688B}" srcOrd="0" destOrd="0" presId="urn:microsoft.com/office/officeart/2005/8/layout/hierarchy1"/>
    <dgm:cxn modelId="{468212FA-26F0-4146-9E8B-313662FD9C31}" type="presParOf" srcId="{5BFA0E39-4549-4627-88A1-27317B91D87D}" destId="{82A9A54D-C861-42DB-9998-8DE9337AB34C}" srcOrd="1" destOrd="0" presId="urn:microsoft.com/office/officeart/2005/8/layout/hierarchy1"/>
    <dgm:cxn modelId="{B80D4C20-275C-482B-A48D-C6D891456619}" type="presParOf" srcId="{82A9A54D-C861-42DB-9998-8DE9337AB34C}" destId="{47E049E7-D6D0-42F0-91B9-73362892D32E}" srcOrd="0" destOrd="0" presId="urn:microsoft.com/office/officeart/2005/8/layout/hierarchy1"/>
    <dgm:cxn modelId="{A7DDC4ED-745D-422A-B42B-A3FBD0778DBF}" type="presParOf" srcId="{47E049E7-D6D0-42F0-91B9-73362892D32E}" destId="{AAD7640F-037C-435C-8D16-FA623AF9287A}" srcOrd="0" destOrd="0" presId="urn:microsoft.com/office/officeart/2005/8/layout/hierarchy1"/>
    <dgm:cxn modelId="{AB79B392-7C50-4BE3-8DA7-82D808FF4289}" type="presParOf" srcId="{47E049E7-D6D0-42F0-91B9-73362892D32E}" destId="{335C0C0C-D613-43B7-908B-744BEDD775AA}" srcOrd="1" destOrd="0" presId="urn:microsoft.com/office/officeart/2005/8/layout/hierarchy1"/>
    <dgm:cxn modelId="{21851DD2-26DC-42BA-AA7C-F18CB8D8065A}" type="presParOf" srcId="{82A9A54D-C861-42DB-9998-8DE9337AB34C}" destId="{C33EE7CD-0B8C-4BAD-B06F-5638A1B6649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3C028F-8951-4470-9A52-714640BF688B}">
      <dsp:nvSpPr>
        <dsp:cNvPr id="0" name=""/>
        <dsp:cNvSpPr/>
      </dsp:nvSpPr>
      <dsp:spPr>
        <a:xfrm>
          <a:off x="4566259" y="1672253"/>
          <a:ext cx="91440" cy="308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FE77E-6FF5-4F02-AA07-B61A530BAC88}">
      <dsp:nvSpPr>
        <dsp:cNvPr id="0" name=""/>
        <dsp:cNvSpPr/>
      </dsp:nvSpPr>
      <dsp:spPr>
        <a:xfrm>
          <a:off x="2762334" y="690086"/>
          <a:ext cx="1849644" cy="308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53"/>
              </a:lnTo>
              <a:lnTo>
                <a:pt x="1849644" y="210253"/>
              </a:lnTo>
              <a:lnTo>
                <a:pt x="1849644" y="308529"/>
              </a:lnTo>
            </a:path>
          </a:pathLst>
        </a:custGeo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F91CE-8A96-40DD-BCA0-504CC8FF92E4}">
      <dsp:nvSpPr>
        <dsp:cNvPr id="0" name=""/>
        <dsp:cNvSpPr/>
      </dsp:nvSpPr>
      <dsp:spPr>
        <a:xfrm>
          <a:off x="2798408" y="1672253"/>
          <a:ext cx="91440" cy="308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71993-1AFF-49BF-A772-F30214299ACE}">
      <dsp:nvSpPr>
        <dsp:cNvPr id="0" name=""/>
        <dsp:cNvSpPr/>
      </dsp:nvSpPr>
      <dsp:spPr>
        <a:xfrm>
          <a:off x="2716614" y="690086"/>
          <a:ext cx="91440" cy="308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253"/>
              </a:lnTo>
              <a:lnTo>
                <a:pt x="127513" y="210253"/>
              </a:lnTo>
              <a:lnTo>
                <a:pt x="127513" y="308529"/>
              </a:lnTo>
            </a:path>
          </a:pathLst>
        </a:custGeo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6E469-E23D-4ACC-BE3B-BE8E42D59C3F}">
      <dsp:nvSpPr>
        <dsp:cNvPr id="0" name=""/>
        <dsp:cNvSpPr/>
      </dsp:nvSpPr>
      <dsp:spPr>
        <a:xfrm>
          <a:off x="841748" y="1672253"/>
          <a:ext cx="91440" cy="308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29"/>
              </a:lnTo>
            </a:path>
          </a:pathLst>
        </a:custGeom>
        <a:noFill/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9C073-073C-49B1-B7DA-C43588A846E9}">
      <dsp:nvSpPr>
        <dsp:cNvPr id="0" name=""/>
        <dsp:cNvSpPr/>
      </dsp:nvSpPr>
      <dsp:spPr>
        <a:xfrm>
          <a:off x="887468" y="690086"/>
          <a:ext cx="1874866" cy="308529"/>
        </a:xfrm>
        <a:custGeom>
          <a:avLst/>
          <a:gdLst/>
          <a:ahLst/>
          <a:cxnLst/>
          <a:rect l="0" t="0" r="0" b="0"/>
          <a:pathLst>
            <a:path>
              <a:moveTo>
                <a:pt x="1874866" y="0"/>
              </a:moveTo>
              <a:lnTo>
                <a:pt x="1874866" y="210253"/>
              </a:lnTo>
              <a:lnTo>
                <a:pt x="0" y="210253"/>
              </a:lnTo>
              <a:lnTo>
                <a:pt x="0" y="308529"/>
              </a:lnTo>
            </a:path>
          </a:pathLst>
        </a:custGeom>
        <a:noFill/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13CFF-E925-4450-A737-1644AC9D1228}">
      <dsp:nvSpPr>
        <dsp:cNvPr id="0" name=""/>
        <dsp:cNvSpPr/>
      </dsp:nvSpPr>
      <dsp:spPr>
        <a:xfrm>
          <a:off x="264798" y="16448"/>
          <a:ext cx="4995071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F7F55B06-AFEA-491F-81BD-CBB69D22A683}">
      <dsp:nvSpPr>
        <dsp:cNvPr id="0" name=""/>
        <dsp:cNvSpPr/>
      </dsp:nvSpPr>
      <dsp:spPr>
        <a:xfrm>
          <a:off x="382670" y="128427"/>
          <a:ext cx="4995071" cy="6736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Источники информации анализа финансового состояния  предприятия</a:t>
          </a:r>
        </a:p>
      </dsp:txBody>
      <dsp:txXfrm>
        <a:off x="402400" y="148157"/>
        <a:ext cx="4955611" cy="634177"/>
      </dsp:txXfrm>
    </dsp:sp>
    <dsp:sp modelId="{F29AFEE0-46A7-4385-8EFF-30B106B1C7F6}">
      <dsp:nvSpPr>
        <dsp:cNvPr id="0" name=""/>
        <dsp:cNvSpPr/>
      </dsp:nvSpPr>
      <dsp:spPr>
        <a:xfrm>
          <a:off x="157075" y="998616"/>
          <a:ext cx="1460786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5F129979-FB0C-47CB-9679-5AEECB9CF655}">
      <dsp:nvSpPr>
        <dsp:cNvPr id="0" name=""/>
        <dsp:cNvSpPr/>
      </dsp:nvSpPr>
      <dsp:spPr>
        <a:xfrm>
          <a:off x="274947" y="1110594"/>
          <a:ext cx="1460786" cy="6736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учетные</a:t>
          </a:r>
        </a:p>
      </dsp:txBody>
      <dsp:txXfrm>
        <a:off x="294677" y="1130324"/>
        <a:ext cx="1421326" cy="634177"/>
      </dsp:txXfrm>
    </dsp:sp>
    <dsp:sp modelId="{C08E6E4A-8449-46CF-8D78-A3918765242D}">
      <dsp:nvSpPr>
        <dsp:cNvPr id="0" name=""/>
        <dsp:cNvSpPr/>
      </dsp:nvSpPr>
      <dsp:spPr>
        <a:xfrm>
          <a:off x="934" y="1980783"/>
          <a:ext cx="1773067" cy="1961262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667179F8-AC1D-4646-8210-66D5FE790AC3}">
      <dsp:nvSpPr>
        <dsp:cNvPr id="0" name=""/>
        <dsp:cNvSpPr/>
      </dsp:nvSpPr>
      <dsp:spPr>
        <a:xfrm>
          <a:off x="118806" y="2092761"/>
          <a:ext cx="1773067" cy="19612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первичная учетная документация;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оперативная отчетность;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основные формы бухгалтерской отчетности</a:t>
          </a:r>
        </a:p>
      </dsp:txBody>
      <dsp:txXfrm>
        <a:off x="170737" y="2144692"/>
        <a:ext cx="1669205" cy="1857400"/>
      </dsp:txXfrm>
    </dsp:sp>
    <dsp:sp modelId="{14D9025A-9415-4588-A2B9-E9CAC5A8CA22}">
      <dsp:nvSpPr>
        <dsp:cNvPr id="0" name=""/>
        <dsp:cNvSpPr/>
      </dsp:nvSpPr>
      <dsp:spPr>
        <a:xfrm>
          <a:off x="2146038" y="998616"/>
          <a:ext cx="1396180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CF2F16F7-153D-4C2D-A2FC-00709D4446AB}">
      <dsp:nvSpPr>
        <dsp:cNvPr id="0" name=""/>
        <dsp:cNvSpPr/>
      </dsp:nvSpPr>
      <dsp:spPr>
        <a:xfrm>
          <a:off x="2263909" y="1110594"/>
          <a:ext cx="1396180" cy="6736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внеучетные</a:t>
          </a:r>
        </a:p>
      </dsp:txBody>
      <dsp:txXfrm>
        <a:off x="2283639" y="1130324"/>
        <a:ext cx="1356720" cy="634177"/>
      </dsp:txXfrm>
    </dsp:sp>
    <dsp:sp modelId="{A43483E8-1E6C-417F-886D-E3B3FF2A602D}">
      <dsp:nvSpPr>
        <dsp:cNvPr id="0" name=""/>
        <dsp:cNvSpPr/>
      </dsp:nvSpPr>
      <dsp:spPr>
        <a:xfrm>
          <a:off x="2009745" y="1980783"/>
          <a:ext cx="1668765" cy="198831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4157CFDD-14A0-498F-876C-B0039C024F06}">
      <dsp:nvSpPr>
        <dsp:cNvPr id="0" name=""/>
        <dsp:cNvSpPr/>
      </dsp:nvSpPr>
      <dsp:spPr>
        <a:xfrm>
          <a:off x="2127617" y="2092761"/>
          <a:ext cx="1668765" cy="1988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устав организации;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оперативные планы;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хозяйственные договоры</a:t>
          </a:r>
        </a:p>
      </dsp:txBody>
      <dsp:txXfrm>
        <a:off x="2176493" y="2141637"/>
        <a:ext cx="1571013" cy="1890563"/>
      </dsp:txXfrm>
    </dsp:sp>
    <dsp:sp modelId="{602E3ABB-5DA6-46D4-9C21-B28DB1E53D8E}">
      <dsp:nvSpPr>
        <dsp:cNvPr id="0" name=""/>
        <dsp:cNvSpPr/>
      </dsp:nvSpPr>
      <dsp:spPr>
        <a:xfrm>
          <a:off x="3856364" y="998616"/>
          <a:ext cx="1511229" cy="67363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6C010D42-F26D-4149-AB6B-35D46AD8F016}">
      <dsp:nvSpPr>
        <dsp:cNvPr id="0" name=""/>
        <dsp:cNvSpPr/>
      </dsp:nvSpPr>
      <dsp:spPr>
        <a:xfrm>
          <a:off x="3974236" y="1110594"/>
          <a:ext cx="1511229" cy="6736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нормативные</a:t>
          </a:r>
        </a:p>
      </dsp:txBody>
      <dsp:txXfrm>
        <a:off x="3993966" y="1130324"/>
        <a:ext cx="1471769" cy="634177"/>
      </dsp:txXfrm>
    </dsp:sp>
    <dsp:sp modelId="{AAD7640F-037C-435C-8D16-FA623AF9287A}">
      <dsp:nvSpPr>
        <dsp:cNvPr id="0" name=""/>
        <dsp:cNvSpPr/>
      </dsp:nvSpPr>
      <dsp:spPr>
        <a:xfrm>
          <a:off x="3914254" y="1980783"/>
          <a:ext cx="1395448" cy="199717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</dsp:sp>
    <dsp:sp modelId="{335C0C0C-D613-43B7-908B-744BEDD775AA}">
      <dsp:nvSpPr>
        <dsp:cNvPr id="0" name=""/>
        <dsp:cNvSpPr/>
      </dsp:nvSpPr>
      <dsp:spPr>
        <a:xfrm>
          <a:off x="4032126" y="2092761"/>
          <a:ext cx="1395448" cy="19971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нормативно - правовые акты;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стратегические планы</a:t>
          </a:r>
        </a:p>
      </dsp:txBody>
      <dsp:txXfrm>
        <a:off x="4072997" y="2133632"/>
        <a:ext cx="1313706" cy="191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A020-0385-4E84-8ED3-B27D823EBC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2021-05-18T03:16:00Z</dcterms:created>
  <dcterms:modified xsi:type="dcterms:W3CDTF">2021-05-18T03:16:00Z</dcterms:modified>
</cp:coreProperties>
</file>