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17" w:rsidRPr="008E2382" w:rsidRDefault="008E2382">
      <w:pPr>
        <w:rPr>
          <w:rFonts w:ascii="Times New Roman" w:hAnsi="Times New Roman" w:cs="Times New Roman"/>
          <w:sz w:val="28"/>
          <w:szCs w:val="28"/>
        </w:rPr>
      </w:pPr>
      <w:r w:rsidRPr="008E2382">
        <w:rPr>
          <w:rFonts w:ascii="Times New Roman" w:hAnsi="Times New Roman" w:cs="Times New Roman"/>
          <w:sz w:val="28"/>
          <w:szCs w:val="28"/>
        </w:rPr>
        <w:t>Сто единичных точечных масс соединены с одинаковыми линейными пружинами единичной жесткости на круговом кольце единичного радиуса. Найти наибольшую угловую частоту колебаний этих масс</w:t>
      </w:r>
    </w:p>
    <w:sectPr w:rsidR="00B26717" w:rsidRPr="008E2382" w:rsidSect="00B2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382"/>
    <w:rsid w:val="008E2382"/>
    <w:rsid w:val="00B2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2021-03-06T18:43:00Z</dcterms:created>
  <dcterms:modified xsi:type="dcterms:W3CDTF">2021-03-06T18:43:00Z</dcterms:modified>
</cp:coreProperties>
</file>